
<file path=[Content_Types].xml><?xml version="1.0" encoding="utf-8"?>
<Types xmlns="http://schemas.openxmlformats.org/package/2006/content-types">
  <Default Extension="tmp" ContentType="image/pn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00000" w:rsidRDefault="00EB04A8">
      <w:pPr>
        <w:pStyle w:val="Nadpis1"/>
        <w:rPr>
          <w:rFonts w:eastAsia="Times New Roman"/>
        </w:rPr>
      </w:pPr>
      <w:bookmarkStart w:id="0" w:name="_GoBack"/>
      <w:bookmarkEnd w:id="0"/>
      <w:r>
        <w:rPr>
          <w:rFonts w:eastAsia="Times New Roman"/>
        </w:rPr>
        <w:t>SU-MD-su_6</w:t>
      </w:r>
    </w:p>
    <w:p w:rsidR="00000000" w:rsidRDefault="00EB04A8">
      <w:pPr>
        <w:pStyle w:val="fstitlepage"/>
        <w:jc w:val="center"/>
      </w:pPr>
      <w:r>
        <w:rPr>
          <w:rStyle w:val="Siln"/>
          <w:color w:val="000000"/>
          <w:sz w:val="50"/>
          <w:szCs w:val="50"/>
        </w:rPr>
        <w:t>Migrácia IS obcí do vládneho cloudu Plošné rozšírenie IS DCOM – 2. etapa (DCOM+)</w:t>
      </w:r>
      <w:r>
        <w:rPr>
          <w:rStyle w:val="su2header"/>
          <w:b/>
          <w:bCs/>
          <w:color w:val="000000"/>
          <w:sz w:val="50"/>
          <w:szCs w:val="50"/>
        </w:rPr>
        <w:t> </w:t>
      </w:r>
    </w:p>
    <w:p w:rsidR="00000000" w:rsidRDefault="00EB04A8">
      <w:pPr>
        <w:pStyle w:val="Normlnywebov"/>
      </w:pPr>
      <w:r>
        <w:t> </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360"/>
      </w:tblGrid>
      <w:tr w:rsidR="00000000">
        <w:trPr>
          <w:divId w:val="389965064"/>
          <w:cantSplit/>
          <w:tblCellSpacing w:w="15" w:type="dxa"/>
        </w:trPr>
        <w:tc>
          <w:tcPr>
            <w:tcW w:w="0" w:type="auto"/>
            <w:vAlign w:val="center"/>
            <w:hideMark/>
          </w:tcPr>
          <w:p w:rsidR="00000000" w:rsidRDefault="00EB04A8"/>
        </w:tc>
      </w:tr>
      <w:tr w:rsidR="00000000">
        <w:trPr>
          <w:divId w:val="389965064"/>
          <w:cantSplit/>
          <w:tblCellSpacing w:w="15" w:type="dxa"/>
        </w:trPr>
        <w:tc>
          <w:tcPr>
            <w:tcW w:w="0" w:type="auto"/>
            <w:vAlign w:val="center"/>
            <w:hideMark/>
          </w:tcPr>
          <w:p w:rsidR="00000000" w:rsidRDefault="00EB04A8">
            <w:pPr>
              <w:pStyle w:val="Normlnywebov"/>
            </w:pPr>
            <w:r>
              <w:t>Typ 3 štúdie uskutočniteľnosti. Štúdia zameraná na cloudové služby typu SaaS a IaaS.</w:t>
            </w:r>
          </w:p>
        </w:tc>
      </w:tr>
      <w:tr w:rsidR="00000000">
        <w:trPr>
          <w:divId w:val="389965064"/>
          <w:cantSplit/>
          <w:tblCellSpacing w:w="15" w:type="dxa"/>
        </w:trPr>
        <w:tc>
          <w:tcPr>
            <w:tcW w:w="0" w:type="auto"/>
            <w:vAlign w:val="center"/>
            <w:hideMark/>
          </w:tcPr>
          <w:p w:rsidR="00000000" w:rsidRDefault="00EB04A8"/>
        </w:tc>
      </w:tr>
    </w:tbl>
    <w:p w:rsidR="00000000" w:rsidRDefault="00EB04A8">
      <w:pPr>
        <w:pStyle w:val="Normlnywebov"/>
      </w:pPr>
      <w:r>
        <w:t> </w:t>
      </w:r>
    </w:p>
    <w:p w:rsidR="00000000" w:rsidRDefault="00EB04A8">
      <w:pPr>
        <w:pStyle w:val="Normlnywebov"/>
      </w:pPr>
      <w:r>
        <w:br/>
      </w:r>
      <w:r>
        <w:rPr>
          <w:rStyle w:val="Siln"/>
        </w:rPr>
        <w:t>Obsah</w:t>
      </w:r>
      <w:r>
        <w:t xml:space="preserve"> </w:t>
      </w:r>
      <w:r>
        <w:br/>
      </w:r>
      <w:hyperlink w:anchor="SU-MD-su_6-_Toc413660701" w:history="1">
        <w:r>
          <w:rPr>
            <w:rStyle w:val="Hypertextovprepojenie"/>
          </w:rPr>
          <w:t xml:space="preserve">1 Základné informácie </w:t>
        </w:r>
      </w:hyperlink>
      <w:r>
        <w:br/>
      </w:r>
      <w:hyperlink w:anchor="SU-MD-su_6-_Toc413660702" w:history="1">
        <w:r>
          <w:rPr>
            <w:rStyle w:val="Hypertextovprepojenie"/>
          </w:rPr>
          <w:t xml:space="preserve">1.1 Prehľad </w:t>
        </w:r>
      </w:hyperlink>
      <w:r>
        <w:br/>
      </w:r>
      <w:hyperlink w:anchor="SU-MD-su_6-_Toc413660703" w:history="1">
        <w:r>
          <w:rPr>
            <w:rStyle w:val="Hypertextovprepojenie"/>
          </w:rPr>
          <w:t xml:space="preserve">1.2 Dôvod </w:t>
        </w:r>
      </w:hyperlink>
      <w:r>
        <w:br/>
      </w:r>
      <w:hyperlink w:anchor="SU-MD-su_6-_Toc413660704" w:history="1">
        <w:r>
          <w:rPr>
            <w:rStyle w:val="Hypertextovprepojenie"/>
          </w:rPr>
          <w:t xml:space="preserve">1.3 Rozsah </w:t>
        </w:r>
      </w:hyperlink>
      <w:r>
        <w:br/>
      </w:r>
      <w:hyperlink w:anchor="SU-MD-su_6-_Toc413660705" w:history="1">
        <w:r>
          <w:rPr>
            <w:rStyle w:val="Hypertextovprepojenie"/>
          </w:rPr>
          <w:t>1.4 Použi</w:t>
        </w:r>
        <w:r>
          <w:rPr>
            <w:rStyle w:val="Hypertextovprepojenie"/>
          </w:rPr>
          <w:t xml:space="preserve">té skratky a značky </w:t>
        </w:r>
      </w:hyperlink>
      <w:r>
        <w:br/>
      </w:r>
      <w:hyperlink w:anchor="SU-MD-su_6-_Toc413660706" w:history="1">
        <w:r>
          <w:rPr>
            <w:rStyle w:val="Hypertextovprepojenie"/>
          </w:rPr>
          <w:t xml:space="preserve">2 Manažérske zhrnutie </w:t>
        </w:r>
      </w:hyperlink>
      <w:r>
        <w:br/>
      </w:r>
      <w:hyperlink w:anchor="SU-MD-su_6-_Toc413660707" w:history="1">
        <w:r>
          <w:rPr>
            <w:rStyle w:val="Hypertextovprepojenie"/>
          </w:rPr>
          <w:t xml:space="preserve">2.1 Motivácia </w:t>
        </w:r>
      </w:hyperlink>
      <w:r>
        <w:br/>
      </w:r>
      <w:hyperlink w:anchor="SU-MD-su_6-_Toc413660708" w:history="1">
        <w:r>
          <w:rPr>
            <w:rStyle w:val="Hypertextovprepojenie"/>
          </w:rPr>
          <w:t xml:space="preserve">2.2 Popis aktuálneho stavu </w:t>
        </w:r>
      </w:hyperlink>
      <w:r>
        <w:br/>
      </w:r>
      <w:hyperlink w:anchor="SU-MD-su_6-_Toc413660709" w:history="1">
        <w:r>
          <w:rPr>
            <w:rStyle w:val="Hypertextovprepojenie"/>
          </w:rPr>
          <w:t xml:space="preserve">2.2.1 Legislatíva </w:t>
        </w:r>
      </w:hyperlink>
      <w:r>
        <w:br/>
      </w:r>
      <w:hyperlink w:anchor="SU-MD-su_6-_Toc413660710" w:history="1">
        <w:r>
          <w:rPr>
            <w:rStyle w:val="Hypertextovprepojenie"/>
          </w:rPr>
          <w:t xml:space="preserve">2.2.2 Architektúra </w:t>
        </w:r>
      </w:hyperlink>
      <w:r>
        <w:br/>
      </w:r>
      <w:hyperlink w:anchor="SU-MD-su_6-_Toc413660711" w:history="1">
        <w:r>
          <w:rPr>
            <w:rStyle w:val="Hypertextovprepojenie"/>
          </w:rPr>
          <w:t xml:space="preserve">2.2.3 Prevádzka </w:t>
        </w:r>
      </w:hyperlink>
      <w:r>
        <w:br/>
      </w:r>
      <w:hyperlink w:anchor="SU-MD-su_6-_Toc413660712" w:history="1">
        <w:r>
          <w:rPr>
            <w:rStyle w:val="Hypertextovprepojenie"/>
          </w:rPr>
          <w:t xml:space="preserve">2.3 Alternatívne riešenia </w:t>
        </w:r>
      </w:hyperlink>
      <w:r>
        <w:br/>
      </w:r>
      <w:hyperlink w:anchor="SU-MD-su_6-_Toc413660713" w:history="1">
        <w:r>
          <w:rPr>
            <w:rStyle w:val="Hypertextovprepojenie"/>
          </w:rPr>
          <w:t xml:space="preserve">2.3.1 Alternatíva A – „Názov" </w:t>
        </w:r>
      </w:hyperlink>
      <w:r>
        <w:br/>
      </w:r>
      <w:hyperlink w:anchor="SU-MD-su_6-_Toc413660714" w:history="1">
        <w:r>
          <w:rPr>
            <w:rStyle w:val="Hypertextovprepojenie"/>
          </w:rPr>
          <w:t xml:space="preserve">2.3.2 Alternatíva B – „Názov" </w:t>
        </w:r>
      </w:hyperlink>
      <w:r>
        <w:br/>
      </w:r>
      <w:hyperlink w:anchor="SU-MD-su_6-_Toc413660715" w:history="1">
        <w:r>
          <w:rPr>
            <w:rStyle w:val="Hypertextovprepojenie"/>
          </w:rPr>
          <w:t xml:space="preserve">2.4 Popis budúceho stavu </w:t>
        </w:r>
      </w:hyperlink>
      <w:r>
        <w:br/>
      </w:r>
      <w:hyperlink w:anchor="SU-MD-su_6-_Toc413660716" w:history="1">
        <w:r>
          <w:rPr>
            <w:rStyle w:val="Hypertextovprepojenie"/>
          </w:rPr>
          <w:t xml:space="preserve">2.4.1 Legislatíva </w:t>
        </w:r>
      </w:hyperlink>
      <w:r>
        <w:br/>
      </w:r>
      <w:hyperlink w:anchor="SU-MD-su_6-_Toc413660717" w:history="1">
        <w:r>
          <w:rPr>
            <w:rStyle w:val="Hypertextovprepojenie"/>
          </w:rPr>
          <w:t xml:space="preserve">2.4.2 Architektúra </w:t>
        </w:r>
      </w:hyperlink>
      <w:r>
        <w:br/>
      </w:r>
      <w:hyperlink w:anchor="SU-MD-su_6-_Toc413660718" w:history="1">
        <w:r>
          <w:rPr>
            <w:rStyle w:val="Hypertextovprepojenie"/>
          </w:rPr>
          <w:t xml:space="preserve">2.4.3 Prevádzka </w:t>
        </w:r>
      </w:hyperlink>
      <w:r>
        <w:br/>
      </w:r>
      <w:hyperlink w:anchor="SU-MD-su_6-_Toc413660719" w:history="1">
        <w:r>
          <w:rPr>
            <w:rStyle w:val="Hypertextovprepojenie"/>
          </w:rPr>
          <w:t>2.4.4 Ekonom</w:t>
        </w:r>
        <w:r>
          <w:rPr>
            <w:rStyle w:val="Hypertextovprepojenie"/>
          </w:rPr>
          <w:t xml:space="preserve">ická analýza </w:t>
        </w:r>
      </w:hyperlink>
    </w:p>
    <w:p w:rsidR="00000000" w:rsidRDefault="00EB04A8">
      <w:pPr>
        <w:pStyle w:val="Normlnywebov"/>
      </w:pPr>
      <w:r>
        <w:br/>
      </w:r>
      <w:r>
        <w:br/>
      </w:r>
      <w:r>
        <w:br/>
      </w:r>
      <w:r>
        <w:br/>
      </w:r>
      <w:r>
        <w:rPr>
          <w:rStyle w:val="Siln"/>
        </w:rPr>
        <w:t>Zoznam obrázkov</w:t>
      </w:r>
      <w:r>
        <w:t xml:space="preserve"> </w:t>
      </w:r>
      <w:r>
        <w:br/>
      </w:r>
      <w:r>
        <w:rPr>
          <w:rStyle w:val="Siln"/>
        </w:rPr>
        <w:t>No table of figures entries found.</w:t>
      </w:r>
      <w:r>
        <w:t xml:space="preserve"> </w:t>
      </w:r>
      <w:r>
        <w:br/>
      </w:r>
      <w:r>
        <w:rPr>
          <w:rStyle w:val="Siln"/>
        </w:rPr>
        <w:t>Zoznam tabuliek</w:t>
      </w:r>
      <w:r>
        <w:t xml:space="preserve"> </w:t>
      </w:r>
      <w:r>
        <w:br/>
      </w:r>
      <w:hyperlink w:anchor="SU-MD-su_6-_Toc413660678" w:history="1">
        <w:r>
          <w:rPr>
            <w:rStyle w:val="Hypertextovprepojenie"/>
          </w:rPr>
          <w:t>Tabuľka 1 Základné informácie - zhrnutie </w:t>
        </w:r>
        <w:r>
          <w:rPr>
            <w:color w:val="0000FF"/>
            <w:u w:val="single"/>
          </w:rPr>
          <w:br/>
        </w:r>
        <w:r>
          <w:rPr>
            <w:rStyle w:val="Hypertextovprepojenie"/>
          </w:rPr>
          <w:t> </w:t>
        </w:r>
      </w:hyperlink>
      <w:hyperlink w:anchor="SU-MD-su_6-_Toc413660679" w:history="1">
        <w:r>
          <w:rPr>
            <w:rStyle w:val="Hypertextovprepojenie"/>
          </w:rPr>
          <w:t xml:space="preserve">Tabuľka 2 Skratky a značky </w:t>
        </w:r>
      </w:hyperlink>
      <w:hyperlink w:anchor="SU-MD-su_6-_Toc413660678" w:history="1">
        <w:r>
          <w:rPr>
            <w:color w:val="0000FF"/>
            <w:u w:val="single"/>
          </w:rPr>
          <w:br/>
        </w:r>
      </w:hyperlink>
      <w:hyperlink w:anchor="SU-MD-su_6-_Toc413660680" w:history="1">
        <w:r>
          <w:rPr>
            <w:rStyle w:val="Hypertextovprepojenie"/>
          </w:rPr>
          <w:t xml:space="preserve">Tabuľka 3 Motivácia – budúci stav </w:t>
        </w:r>
      </w:hyperlink>
      <w:hyperlink w:anchor="SU-MD-su_6-_Toc413660678" w:history="1">
        <w:r>
          <w:rPr>
            <w:color w:val="0000FF"/>
            <w:u w:val="single"/>
          </w:rPr>
          <w:br/>
        </w:r>
      </w:hyperlink>
      <w:hyperlink w:anchor="SU-MD-su_6-_Toc413660681" w:history="1">
        <w:r>
          <w:rPr>
            <w:rStyle w:val="Hypertextovprepojenie"/>
          </w:rPr>
          <w:t>Tabuľka 4 Legislatíva – aktuálny sta</w:t>
        </w:r>
        <w:r>
          <w:rPr>
            <w:rStyle w:val="Hypertextovprepojenie"/>
          </w:rPr>
          <w:t xml:space="preserve">v </w:t>
        </w:r>
      </w:hyperlink>
      <w:hyperlink w:anchor="SU-MD-su_6-_Toc413660678" w:history="1">
        <w:r>
          <w:rPr>
            <w:color w:val="0000FF"/>
            <w:u w:val="single"/>
          </w:rPr>
          <w:br/>
        </w:r>
      </w:hyperlink>
      <w:hyperlink w:anchor="SU-MD-su_6-_Toc413660682" w:history="1">
        <w:r>
          <w:rPr>
            <w:rStyle w:val="Hypertextovprepojenie"/>
          </w:rPr>
          <w:t xml:space="preserve">Tabuľka 5 Biznis architektúra - aktuálny stav </w:t>
        </w:r>
      </w:hyperlink>
      <w:hyperlink w:anchor="SU-MD-su_6-_Toc413660678" w:history="1">
        <w:r>
          <w:rPr>
            <w:color w:val="0000FF"/>
            <w:u w:val="single"/>
          </w:rPr>
          <w:br/>
        </w:r>
      </w:hyperlink>
      <w:hyperlink w:anchor="SU-MD-su_6-_Toc413660683" w:history="1">
        <w:r>
          <w:rPr>
            <w:rStyle w:val="Hypertextovprepojenie"/>
          </w:rPr>
          <w:t>Tabuľka 6 Architek</w:t>
        </w:r>
        <w:r>
          <w:rPr>
            <w:rStyle w:val="Hypertextovprepojenie"/>
          </w:rPr>
          <w:t xml:space="preserve">túra informačných systémov - aktuálny stav </w:t>
        </w:r>
      </w:hyperlink>
      <w:hyperlink w:anchor="SU-MD-su_6-_Toc413660678" w:history="1">
        <w:r>
          <w:rPr>
            <w:color w:val="0000FF"/>
            <w:u w:val="single"/>
          </w:rPr>
          <w:br/>
        </w:r>
      </w:hyperlink>
      <w:hyperlink w:anchor="SU-MD-su_6-_Toc413660684" w:history="1">
        <w:r>
          <w:rPr>
            <w:rStyle w:val="Hypertextovprepojenie"/>
          </w:rPr>
          <w:t xml:space="preserve">Tabuľka 7 Technologická architektúra - aktuálny stav </w:t>
        </w:r>
      </w:hyperlink>
      <w:hyperlink w:anchor="SU-MD-su_6-_Toc413660678" w:history="1">
        <w:r>
          <w:rPr>
            <w:color w:val="0000FF"/>
            <w:u w:val="single"/>
          </w:rPr>
          <w:br/>
        </w:r>
      </w:hyperlink>
      <w:hyperlink w:anchor="SU-MD-su_6-_Toc413660685" w:history="1">
        <w:r>
          <w:rPr>
            <w:rStyle w:val="Hypertextovprepojenie"/>
          </w:rPr>
          <w:t xml:space="preserve">Tabuľka 8 Bezpečnostná architektúra - aktuálny stav </w:t>
        </w:r>
      </w:hyperlink>
      <w:hyperlink w:anchor="SU-MD-su_6-_Toc413660678" w:history="1">
        <w:r>
          <w:rPr>
            <w:color w:val="0000FF"/>
            <w:u w:val="single"/>
          </w:rPr>
          <w:br/>
        </w:r>
      </w:hyperlink>
      <w:hyperlink w:anchor="SU-MD-su_6-_Toc413660686" w:history="1">
        <w:r>
          <w:rPr>
            <w:rStyle w:val="Hypertextovprepojenie"/>
          </w:rPr>
          <w:t xml:space="preserve">Tabuľka 9 Prevádzka - aktuálny stav </w:t>
        </w:r>
      </w:hyperlink>
      <w:hyperlink w:anchor="SU-MD-su_6-_Toc413660678" w:history="1">
        <w:r>
          <w:rPr>
            <w:color w:val="0000FF"/>
            <w:u w:val="single"/>
          </w:rPr>
          <w:br/>
        </w:r>
      </w:hyperlink>
      <w:hyperlink w:anchor="SU-MD-su_6-_Toc413660687" w:history="1">
        <w:r>
          <w:rPr>
            <w:rStyle w:val="Hypertextovprepojenie"/>
          </w:rPr>
          <w:t xml:space="preserve">Tabuľka 10 Legislatíva - budúci stav </w:t>
        </w:r>
      </w:hyperlink>
      <w:hyperlink w:anchor="SU-MD-su_6-_Toc413660678" w:history="1">
        <w:r>
          <w:rPr>
            <w:color w:val="0000FF"/>
            <w:u w:val="single"/>
          </w:rPr>
          <w:br/>
        </w:r>
      </w:hyperlink>
      <w:hyperlink w:anchor="SU-MD-su_6-_Toc413660688" w:history="1">
        <w:r>
          <w:rPr>
            <w:rStyle w:val="Hypertextovprepojenie"/>
          </w:rPr>
          <w:t xml:space="preserve">Tabuľka 11 Biznis architektúra – budúci stav </w:t>
        </w:r>
      </w:hyperlink>
      <w:hyperlink w:anchor="SU-MD-su_6-_Toc413660678" w:history="1">
        <w:r>
          <w:rPr>
            <w:color w:val="0000FF"/>
            <w:u w:val="single"/>
          </w:rPr>
          <w:br/>
        </w:r>
      </w:hyperlink>
      <w:hyperlink w:anchor="SU-MD-su_6-_Toc413660689" w:history="1">
        <w:r>
          <w:rPr>
            <w:rStyle w:val="Hypertextovprepojenie"/>
          </w:rPr>
          <w:t xml:space="preserve">Tabuľka 12 Architektúra informačných systémov - budúci stav </w:t>
        </w:r>
      </w:hyperlink>
      <w:hyperlink w:anchor="SU-MD-su_6-_Toc413660678" w:history="1">
        <w:r>
          <w:rPr>
            <w:color w:val="0000FF"/>
            <w:u w:val="single"/>
          </w:rPr>
          <w:br/>
        </w:r>
      </w:hyperlink>
      <w:hyperlink w:anchor="SU-MD-su_6-_Toc413660690" w:history="1">
        <w:r>
          <w:rPr>
            <w:rStyle w:val="Hypertextovprepojenie"/>
          </w:rPr>
          <w:t>Tabuľka 13 Techn</w:t>
        </w:r>
        <w:r>
          <w:rPr>
            <w:rStyle w:val="Hypertextovprepojenie"/>
          </w:rPr>
          <w:t xml:space="preserve">ologická architektúra - budúci stav </w:t>
        </w:r>
      </w:hyperlink>
      <w:hyperlink w:anchor="SU-MD-su_6-_Toc413660678" w:history="1">
        <w:r>
          <w:rPr>
            <w:color w:val="0000FF"/>
            <w:u w:val="single"/>
          </w:rPr>
          <w:br/>
        </w:r>
      </w:hyperlink>
      <w:hyperlink w:anchor="SU-MD-su_6-_Toc413660691" w:history="1">
        <w:r>
          <w:rPr>
            <w:rStyle w:val="Hypertextovprepojenie"/>
          </w:rPr>
          <w:t xml:space="preserve">Tabuľka 14 Implementácia a migrácia </w:t>
        </w:r>
      </w:hyperlink>
      <w:hyperlink w:anchor="SU-MD-su_6-_Toc413660678" w:history="1">
        <w:r>
          <w:rPr>
            <w:color w:val="0000FF"/>
            <w:u w:val="single"/>
          </w:rPr>
          <w:br/>
        </w:r>
      </w:hyperlink>
      <w:hyperlink w:anchor="SU-MD-su_6-_Toc413660692" w:history="1">
        <w:r>
          <w:rPr>
            <w:rStyle w:val="Hypertextovprepojenie"/>
          </w:rPr>
          <w:t xml:space="preserve">Tabuľka 15 Bezpečnostná architektúra - budúci stav </w:t>
        </w:r>
      </w:hyperlink>
      <w:hyperlink w:anchor="SU-MD-su_6-_Toc413660678" w:history="1">
        <w:r>
          <w:rPr>
            <w:color w:val="0000FF"/>
            <w:u w:val="single"/>
          </w:rPr>
          <w:br/>
        </w:r>
      </w:hyperlink>
      <w:hyperlink w:anchor="SU-MD-su_6-_Toc413660693" w:history="1">
        <w:r>
          <w:rPr>
            <w:rStyle w:val="Hypertextovprepojenie"/>
          </w:rPr>
          <w:t xml:space="preserve">Tabuľka 16 Prevádzka - budúci stav </w:t>
        </w:r>
      </w:hyperlink>
      <w:hyperlink w:anchor="SU-MD-su_6-_Toc413660678" w:history="1">
        <w:r>
          <w:rPr>
            <w:color w:val="0000FF"/>
            <w:u w:val="single"/>
          </w:rPr>
          <w:br/>
        </w:r>
      </w:hyperlink>
      <w:hyperlink w:anchor="SU-MD-su_6-_Toc413660694" w:history="1">
        <w:r>
          <w:rPr>
            <w:rStyle w:val="Hypertextovprepojenie"/>
          </w:rPr>
          <w:t>Tabuľka 17 Ekonomická analýza - budúci stav</w:t>
        </w:r>
      </w:hyperlink>
    </w:p>
    <w:p w:rsidR="00000000" w:rsidRDefault="00EB04A8">
      <w:pPr>
        <w:pStyle w:val="Normlnywebov"/>
      </w:pPr>
      <w:r>
        <w:t> </w:t>
      </w:r>
    </w:p>
    <w:p w:rsidR="00000000" w:rsidRDefault="00EB04A8">
      <w:pPr>
        <w:pStyle w:val="Nadpis1"/>
        <w:rPr>
          <w:rFonts w:eastAsia="Times New Roman"/>
        </w:rPr>
      </w:pPr>
      <w:r>
        <w:rPr>
          <w:rFonts w:eastAsia="Times New Roman"/>
        </w:rPr>
        <w:t>1</w:t>
      </w:r>
      <w:r>
        <w:rPr>
          <w:rFonts w:eastAsia="Times New Roman"/>
        </w:rPr>
        <w:t xml:space="preserve"> </w:t>
      </w:r>
      <w:r>
        <w:rPr>
          <w:rStyle w:val="inline-comment-marker"/>
          <w:rFonts w:eastAsia="Times New Roman"/>
        </w:rPr>
        <w:t>Základné informáci</w:t>
      </w:r>
      <w:r>
        <w:rPr>
          <w:rStyle w:val="inline-comment-marker"/>
          <w:rFonts w:eastAsia="Times New Roman"/>
        </w:rPr>
        <w:t>e</w:t>
      </w:r>
    </w:p>
    <w:p w:rsidR="00000000" w:rsidRDefault="00EB04A8">
      <w:pPr>
        <w:pStyle w:val="Normlnywebov"/>
      </w:pPr>
      <w:r>
        <w:rPr>
          <w:rStyle w:val="inline-comment-marker"/>
        </w:rPr>
        <w:t>Do národného projektu DCOM bolo zapojených 1511 obcí a miest SR. Ďalších 624 obcí a </w:t>
      </w:r>
      <w:r>
        <w:rPr>
          <w:rStyle w:val="inline-comment-marker"/>
        </w:rPr>
        <w:t>miest sa zapojilo do projektu miniDCOM+, pričom súčasťou pripojenia týchto obcí je aj ich záväzok časom prejsť na plnohodnotné pripojenie do IS DCOM. V prípade plného pripojenia týchto obcí do IS DCOM je vzhľadom na potrebu navýšenia výkonu a kapacity nevy</w:t>
      </w:r>
      <w:r>
        <w:rPr>
          <w:rStyle w:val="inline-comment-marker"/>
        </w:rPr>
        <w:t>hnutné aby sa DCOM stal súčasťou vládneho cloudu</w:t>
      </w:r>
      <w:r>
        <w:rPr>
          <w:rStyle w:val="inline-comment-marker"/>
        </w:rPr>
        <w:t>.</w:t>
      </w:r>
      <w:r>
        <w:rPr>
          <w:rStyle w:val="inline-comment-marker"/>
        </w:rPr>
        <w:t> </w:t>
      </w:r>
    </w:p>
    <w:p w:rsidR="00000000" w:rsidRDefault="00EB04A8">
      <w:pPr>
        <w:pStyle w:val="Normlnywebov"/>
      </w:pPr>
      <w:r>
        <w:t>Migrácia informačného systému obcí (ďalej len ISO) (viď obrázok č.1 a č.2) do IS DCOM je určená aj pre spomínané obce, ktoré už v súčasnosti používajú niektoré služby IS DCOM (projekt miniDCOM+), ako aj pr</w:t>
      </w:r>
      <w:r>
        <w:t>e obce, ktorým zatiaľ nie sú poskytované žiadne služby IS DCOM. Migrácia ISO do vládneho cloudu popísaná v tejto štúdií je prvou etapou konsolidácie a migrácie DCOM do Vládneho cloudu</w:t>
      </w:r>
      <w:r>
        <w:t>.</w:t>
      </w:r>
      <w:r>
        <w:rPr>
          <w:rStyle w:val="inline-comment-marker"/>
        </w:rPr>
        <w:t> </w:t>
      </w:r>
    </w:p>
    <w:p w:rsidR="00000000" w:rsidRDefault="00EB04A8">
      <w:pPr>
        <w:pStyle w:val="Normlnywebov"/>
      </w:pPr>
      <w:r>
        <w:t>Obrázok 1: Cieľová skupina pre migráciu do IS DCOM vo vládnom Cloude.</w:t>
      </w:r>
    </w:p>
    <w:p w:rsidR="00000000" w:rsidRDefault="00EB04A8">
      <w:pPr>
        <w:pStyle w:val="Normlnywebov"/>
      </w:pPr>
      <w:r>
        <w:rPr>
          <w:noProof/>
        </w:rPr>
        <w:drawing>
          <wp:inline distT="0" distB="0" distL="0" distR="0">
            <wp:extent cx="4457700" cy="1348740"/>
            <wp:effectExtent l="0" t="0" r="0" b="3810"/>
            <wp:docPr id="1" name="Obrázok 1" descr="C:\1be4dc292b1b9910755f96852d724b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1be4dc292b1b9910755f96852d724b0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457700" cy="1348740"/>
                    </a:xfrm>
                    <a:prstGeom prst="rect">
                      <a:avLst/>
                    </a:prstGeom>
                    <a:noFill/>
                    <a:ln>
                      <a:noFill/>
                    </a:ln>
                  </pic:spPr>
                </pic:pic>
              </a:graphicData>
            </a:graphic>
          </wp:inline>
        </w:drawing>
      </w:r>
    </w:p>
    <w:p w:rsidR="00000000" w:rsidRDefault="00EB04A8">
      <w:pPr>
        <w:pStyle w:val="Normlnywebov"/>
      </w:pPr>
      <w:r>
        <w:t>Predmetom tohoto návrhu je:</w:t>
      </w:r>
    </w:p>
    <w:p w:rsidR="00000000" w:rsidRDefault="00EB04A8">
      <w:pPr>
        <w:numPr>
          <w:ilvl w:val="0"/>
          <w:numId w:val="1"/>
        </w:numPr>
        <w:spacing w:before="100" w:beforeAutospacing="1" w:after="100" w:afterAutospacing="1"/>
        <w:rPr>
          <w:rFonts w:eastAsia="Times New Roman"/>
        </w:rPr>
      </w:pPr>
      <w:r>
        <w:rPr>
          <w:rFonts w:eastAsia="Times New Roman"/>
        </w:rPr>
        <w:lastRenderedPageBreak/>
        <w:t>Migrácia IS DCOM do vládneho cloudu</w:t>
      </w:r>
    </w:p>
    <w:p w:rsidR="00000000" w:rsidRDefault="00EB04A8">
      <w:pPr>
        <w:numPr>
          <w:ilvl w:val="0"/>
          <w:numId w:val="1"/>
        </w:numPr>
        <w:spacing w:before="100" w:beforeAutospacing="1" w:after="100" w:afterAutospacing="1"/>
        <w:rPr>
          <w:rFonts w:eastAsia="Times New Roman"/>
        </w:rPr>
      </w:pPr>
      <w:r>
        <w:rPr>
          <w:rFonts w:eastAsia="Times New Roman"/>
        </w:rPr>
        <w:t>Migrácia relevantnej časti ISO z </w:t>
      </w:r>
      <w:r>
        <w:rPr>
          <w:rFonts w:eastAsia="Times New Roman"/>
        </w:rPr>
        <w:t>prostredia obce do vládneho cloudu.</w:t>
      </w:r>
    </w:p>
    <w:p w:rsidR="00000000" w:rsidRDefault="00EB04A8">
      <w:pPr>
        <w:numPr>
          <w:ilvl w:val="0"/>
          <w:numId w:val="1"/>
        </w:numPr>
        <w:spacing w:before="100" w:beforeAutospacing="1" w:after="100" w:afterAutospacing="1"/>
        <w:rPr>
          <w:rFonts w:eastAsia="Times New Roman"/>
        </w:rPr>
      </w:pPr>
      <w:r>
        <w:rPr>
          <w:rFonts w:eastAsia="Times New Roman"/>
        </w:rPr>
        <w:t>Zapojenie obcí do využívania elektronických služieb IS DCOM s integráciou na ISVS</w:t>
      </w:r>
    </w:p>
    <w:p w:rsidR="00000000" w:rsidRDefault="00EB04A8">
      <w:pPr>
        <w:numPr>
          <w:ilvl w:val="0"/>
          <w:numId w:val="1"/>
        </w:numPr>
        <w:spacing w:before="100" w:beforeAutospacing="1" w:after="100" w:afterAutospacing="1"/>
        <w:rPr>
          <w:rFonts w:eastAsia="Times New Roman"/>
        </w:rPr>
      </w:pPr>
      <w:r>
        <w:rPr>
          <w:rFonts w:eastAsia="Times New Roman"/>
        </w:rPr>
        <w:t xml:space="preserve">Spôsob poskytovania ISO v rámci IS DCOM formou SaaS nasledovnými variantami: </w:t>
      </w:r>
    </w:p>
    <w:p w:rsidR="00000000" w:rsidRDefault="00EB04A8">
      <w:pPr>
        <w:numPr>
          <w:ilvl w:val="1"/>
          <w:numId w:val="1"/>
        </w:numPr>
        <w:spacing w:before="100" w:beforeAutospacing="1" w:after="100" w:afterAutospacing="1"/>
        <w:rPr>
          <w:rFonts w:eastAsia="Times New Roman"/>
        </w:rPr>
      </w:pPr>
      <w:r>
        <w:rPr>
          <w:rFonts w:eastAsia="Times New Roman"/>
        </w:rPr>
        <w:t>priamo cez APV IS DCOM;</w:t>
      </w:r>
    </w:p>
    <w:p w:rsidR="00000000" w:rsidRDefault="00EB04A8">
      <w:pPr>
        <w:numPr>
          <w:ilvl w:val="1"/>
          <w:numId w:val="1"/>
        </w:numPr>
        <w:spacing w:before="100" w:beforeAutospacing="1" w:after="100" w:afterAutospacing="1"/>
        <w:rPr>
          <w:rFonts w:eastAsia="Times New Roman"/>
        </w:rPr>
      </w:pPr>
      <w:r>
        <w:rPr>
          <w:rFonts w:eastAsia="Times New Roman"/>
        </w:rPr>
        <w:t xml:space="preserve">nepriamo, prostredníctvom overených </w:t>
      </w:r>
      <w:r>
        <w:rPr>
          <w:rFonts w:eastAsia="Times New Roman"/>
        </w:rPr>
        <w:t>dodávateľov ISO, ktorí prevádzkujú svoje služby v prostredí IS DCOM formou IaaS.</w:t>
      </w:r>
    </w:p>
    <w:p w:rsidR="00000000" w:rsidRDefault="00EB04A8">
      <w:pPr>
        <w:numPr>
          <w:ilvl w:val="0"/>
          <w:numId w:val="1"/>
        </w:numPr>
        <w:spacing w:before="100" w:beforeAutospacing="1" w:after="100" w:afterAutospacing="1"/>
        <w:rPr>
          <w:rFonts w:eastAsia="Times New Roman"/>
        </w:rPr>
      </w:pPr>
      <w:r>
        <w:rPr>
          <w:rFonts w:eastAsia="Times New Roman"/>
        </w:rPr>
        <w:t>Migrácia údajov obcí, ktoré sú súčasťou migrovaných ISO</w:t>
      </w:r>
    </w:p>
    <w:p w:rsidR="00000000" w:rsidRDefault="00EB04A8">
      <w:pPr>
        <w:numPr>
          <w:ilvl w:val="0"/>
          <w:numId w:val="1"/>
        </w:numPr>
        <w:spacing w:before="100" w:beforeAutospacing="1" w:after="100" w:afterAutospacing="1"/>
        <w:rPr>
          <w:rFonts w:eastAsia="Times New Roman"/>
        </w:rPr>
      </w:pPr>
      <w:r>
        <w:rPr>
          <w:rFonts w:eastAsia="Times New Roman"/>
        </w:rPr>
        <w:t>Technická migrácia zostávajúceho ISO na koncové zariadenia centrálne spravované z IS DCOM</w:t>
      </w:r>
    </w:p>
    <w:p w:rsidR="00000000" w:rsidRDefault="00EB04A8">
      <w:pPr>
        <w:numPr>
          <w:ilvl w:val="0"/>
          <w:numId w:val="1"/>
        </w:numPr>
        <w:spacing w:before="100" w:beforeAutospacing="1" w:after="100" w:afterAutospacing="1"/>
        <w:rPr>
          <w:rFonts w:eastAsia="Times New Roman"/>
        </w:rPr>
      </w:pPr>
      <w:r>
        <w:rPr>
          <w:rFonts w:eastAsia="Times New Roman"/>
        </w:rPr>
        <w:t>Zmena z pohľadu starostlivost</w:t>
      </w:r>
      <w:r>
        <w:rPr>
          <w:rFonts w:eastAsia="Times New Roman"/>
        </w:rPr>
        <w:t>i a prevádzky ISO, kde prechádza jej významná časť z decentralizovaného modelu lokálneho riešenia, na centrálny model riadenia v prostredí IS DCOM v rámci vládneho cloudu.</w:t>
      </w:r>
    </w:p>
    <w:p w:rsidR="00000000" w:rsidRDefault="00EB04A8">
      <w:pPr>
        <w:pStyle w:val="Normlnywebov"/>
      </w:pPr>
      <w:r>
        <w:t>Obrázok 2: Schéma migrácie ISO do IS DCOM v prostredí vládneho cloudu</w:t>
      </w:r>
    </w:p>
    <w:p w:rsidR="00000000" w:rsidRDefault="00EB04A8">
      <w:pPr>
        <w:pStyle w:val="Normlnywebov"/>
      </w:pPr>
      <w:r>
        <w:rPr>
          <w:noProof/>
        </w:rPr>
        <w:drawing>
          <wp:inline distT="0" distB="0" distL="0" distR="0">
            <wp:extent cx="4198620" cy="1943100"/>
            <wp:effectExtent l="0" t="0" r="0" b="0"/>
            <wp:docPr id="2" name="Obrázok 2" descr="C:\fd74418661618a735f50e37a453224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fd74418661618a735f50e37a453224b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198620" cy="1943100"/>
                    </a:xfrm>
                    <a:prstGeom prst="rect">
                      <a:avLst/>
                    </a:prstGeom>
                    <a:noFill/>
                    <a:ln>
                      <a:noFill/>
                    </a:ln>
                  </pic:spPr>
                </pic:pic>
              </a:graphicData>
            </a:graphic>
          </wp:inline>
        </w:drawing>
      </w:r>
    </w:p>
    <w:p w:rsidR="00000000" w:rsidRDefault="00EB04A8">
      <w:pPr>
        <w:pStyle w:val="Nadpis1"/>
        <w:rPr>
          <w:rFonts w:eastAsia="Times New Roman"/>
        </w:rPr>
      </w:pPr>
      <w:r>
        <w:rPr>
          <w:rStyle w:val="inline-comment-marker"/>
          <w:rFonts w:eastAsia="Times New Roman"/>
        </w:rPr>
        <w:t> </w:t>
      </w:r>
      <w:r>
        <w:rPr>
          <w:rStyle w:val="inline-comment-marker"/>
          <w:rFonts w:eastAsia="Times New Roman"/>
        </w:rPr>
        <w:t xml:space="preserve"> </w:t>
      </w:r>
    </w:p>
    <w:p w:rsidR="00000000" w:rsidRDefault="00EB04A8">
      <w:pPr>
        <w:pStyle w:val="Nadpis2"/>
        <w:rPr>
          <w:rFonts w:eastAsia="Times New Roman"/>
        </w:rPr>
      </w:pPr>
      <w:r>
        <w:rPr>
          <w:rFonts w:eastAsia="Times New Roman"/>
        </w:rPr>
        <w:t>1.1. Prehľad</w:t>
      </w:r>
    </w:p>
    <w:p w:rsidR="00000000" w:rsidRDefault="00EB04A8">
      <w:pPr>
        <w:pStyle w:val="Normlnywebov"/>
      </w:pPr>
      <w:r>
        <w:t> </w:t>
      </w:r>
      <w:r>
        <w:t xml:space="preserve"> </w:t>
      </w:r>
      <w:r>
        <w:rPr>
          <w:rStyle w:val="Zvraznenie"/>
        </w:rPr>
        <w:t>Tabuľka 1 Základné informácie - zhrnutie</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2588"/>
        <w:gridCol w:w="6772"/>
      </w:tblGrid>
      <w:tr w:rsidR="00000000">
        <w:trPr>
          <w:divId w:val="2087485117"/>
          <w:cantSplit/>
          <w:tblCellSpacing w:w="15" w:type="dxa"/>
        </w:trPr>
        <w:tc>
          <w:tcPr>
            <w:tcW w:w="0" w:type="auto"/>
            <w:gridSpan w:val="2"/>
            <w:vAlign w:val="center"/>
            <w:hideMark/>
          </w:tcPr>
          <w:p w:rsidR="00000000" w:rsidRDefault="00EB04A8">
            <w:pPr>
              <w:pStyle w:val="Normlnywebov"/>
            </w:pPr>
            <w:r>
              <w:rPr>
                <w:rStyle w:val="Siln"/>
              </w:rPr>
              <w:t>Zdôvodnenie využitia národného projektu a vylúčenia výberu pr</w:t>
            </w:r>
            <w:r>
              <w:rPr>
                <w:rStyle w:val="Siln"/>
              </w:rPr>
              <w:t>ojektu prostredníctvom výzvy</w:t>
            </w:r>
          </w:p>
        </w:tc>
      </w:tr>
      <w:tr w:rsidR="00000000">
        <w:trPr>
          <w:divId w:val="2087485117"/>
          <w:cantSplit/>
          <w:tblCellSpacing w:w="15" w:type="dxa"/>
        </w:trPr>
        <w:tc>
          <w:tcPr>
            <w:tcW w:w="0" w:type="auto"/>
            <w:gridSpan w:val="2"/>
            <w:vAlign w:val="center"/>
            <w:hideMark/>
          </w:tcPr>
          <w:p w:rsidR="00000000" w:rsidRDefault="00EB04A8">
            <w:pPr>
              <w:pStyle w:val="Normlnywebov"/>
            </w:pPr>
            <w:r>
              <w:lastRenderedPageBreak/>
              <w:t>Predkladaná štúdia „Migrácia IS obcí do vládneho cloudu – plošné rozšírenie IS DCOM – 2. etapa“ je štúdiou uskutočniteľnosti v rámci PO 2014 - 2020, OP II, PO7 Informačná spoločnosť, ŠC 7.8 Racionalizácia prevádzky informačný</w:t>
            </w:r>
            <w:r>
              <w:t>ch systémov pomocou eGovernment cloudu.</w:t>
            </w:r>
          </w:p>
          <w:p w:rsidR="00000000" w:rsidRDefault="00EB04A8">
            <w:pPr>
              <w:pStyle w:val="Normlnywebov"/>
            </w:pPr>
            <w:r>
              <w:t xml:space="preserve">Hlavným cieľom realizácie projektu plošného rozšírenia IS DCOM (ďalej len DCOM+) je umožniť ďalším zhruba 1000 obciam a mestám využitie už existujúceho riešenia pre elektronický výkon verejnej moci. Toto riešenie je </w:t>
            </w:r>
            <w:r>
              <w:t>už overené praxou z projektu DCOM a pre mestá a obce ponúka najlepší pomer úžitku a nákladov.</w:t>
            </w:r>
            <w:r>
              <w:t xml:space="preserve"> </w:t>
            </w:r>
            <w:r>
              <w:rPr>
                <w:rStyle w:val="inline-comment-marker"/>
              </w:rPr>
              <w:t>Ďalším cieľom realizácie projektu je aj doplnenie infraštruktúrnych zariadení pre obce a mestá (aj na cca 1474 obcí a miest už zapojených v pôvodnom projekte DCOM</w:t>
            </w:r>
            <w:r>
              <w:rPr>
                <w:rStyle w:val="inline-comment-marker"/>
              </w:rPr>
              <w:t>)  v rámci racionalizácie prevádzky vládneho cloudu a riešenia IS DCO</w:t>
            </w:r>
            <w:r>
              <w:rPr>
                <w:rStyle w:val="inline-comment-marker"/>
              </w:rPr>
              <w:t>M</w:t>
            </w:r>
            <w:r>
              <w:t>.  Projekt zároveň prináša ďalšie zhodnotenie už zrealizovaných investícií štátu, v rámci ktorého je už vyvinuté APV poskytnuté ďalším subjektom.</w:t>
            </w:r>
          </w:p>
          <w:p w:rsidR="00000000" w:rsidRDefault="00EB04A8">
            <w:pPr>
              <w:pStyle w:val="Normlnywebov"/>
            </w:pPr>
            <w:r>
              <w:t>Východiskovým rámcom pre realizáciu proj</w:t>
            </w:r>
            <w:r>
              <w:t>ektu sú dokumenty:</w:t>
            </w:r>
          </w:p>
          <w:p w:rsidR="00000000" w:rsidRDefault="00EB04A8">
            <w:pPr>
              <w:numPr>
                <w:ilvl w:val="0"/>
                <w:numId w:val="2"/>
              </w:numPr>
              <w:spacing w:before="100" w:beforeAutospacing="1" w:after="100" w:afterAutospacing="1"/>
              <w:rPr>
                <w:rFonts w:eastAsia="Times New Roman"/>
              </w:rPr>
            </w:pPr>
            <w:r>
              <w:rPr>
                <w:rFonts w:eastAsia="Times New Roman"/>
              </w:rPr>
              <w:t xml:space="preserve">„Návrh centralizácie a rozvoja dátových centier v štátnej správe“, schválený uznesením vlády SR č. 247/2014, ktorého hlavným cieľom je, použitím virtualizačných technológií vo forme cloudu, presun administratívnych a podporných systémov </w:t>
            </w:r>
            <w:r>
              <w:rPr>
                <w:rFonts w:eastAsia="Times New Roman"/>
              </w:rPr>
              <w:t>vnútornej správy, v ktorom je možné efektívnejšie dosiahnuť plnenie podmienok prevádzky a bezpečnosti informačných systémov.</w:t>
            </w:r>
          </w:p>
          <w:p w:rsidR="00000000" w:rsidRDefault="00EB04A8">
            <w:pPr>
              <w:numPr>
                <w:ilvl w:val="0"/>
                <w:numId w:val="2"/>
              </w:numPr>
              <w:spacing w:before="100" w:beforeAutospacing="1" w:after="100" w:afterAutospacing="1"/>
              <w:rPr>
                <w:rFonts w:eastAsia="Times New Roman"/>
              </w:rPr>
            </w:pPr>
            <w:r>
              <w:rPr>
                <w:rFonts w:eastAsia="Times New Roman"/>
              </w:rPr>
              <w:t>„Národná koncepcia informatizácie verejnej správy“, schválená </w:t>
            </w:r>
            <w:r>
              <w:rPr>
                <w:rFonts w:eastAsia="Times New Roman"/>
              </w:rPr>
              <w:t>Vládou SR uznesením č. 437/2016, ktorá definuje DataCentrum elektronizácie územnej samosprávy Slovenska (ďalej len DEUS) ako partnera vládneho cloudu, a zároveň špecifického poskytovateľa cloudových služieb IaaS, PaaS a SaaS pre subjekty miestnej územnej s</w:t>
            </w:r>
            <w:r>
              <w:rPr>
                <w:rFonts w:eastAsia="Times New Roman"/>
              </w:rPr>
              <w:t>amosprávy, v súlade s technologickým princípom „vládny cloud prednostne“.</w:t>
            </w:r>
          </w:p>
          <w:p w:rsidR="00000000" w:rsidRDefault="00EB04A8">
            <w:pPr>
              <w:numPr>
                <w:ilvl w:val="0"/>
                <w:numId w:val="2"/>
              </w:numPr>
              <w:spacing w:before="100" w:beforeAutospacing="1" w:after="100" w:afterAutospacing="1"/>
              <w:rPr>
                <w:rFonts w:eastAsia="Times New Roman"/>
              </w:rPr>
            </w:pPr>
            <w:r>
              <w:rPr>
                <w:rFonts w:eastAsia="Times New Roman"/>
              </w:rPr>
              <w:t>Strategická priorita: Vládny cloud, v ktorom sú určené role a procesy pre Vládny cloud a činnosti združenia DEUS.</w:t>
            </w:r>
          </w:p>
          <w:p w:rsidR="00000000" w:rsidRDefault="00EB04A8">
            <w:pPr>
              <w:numPr>
                <w:ilvl w:val="0"/>
                <w:numId w:val="2"/>
              </w:numPr>
              <w:spacing w:before="100" w:beforeAutospacing="1" w:after="100" w:afterAutospacing="1"/>
              <w:rPr>
                <w:rFonts w:eastAsia="Times New Roman"/>
              </w:rPr>
            </w:pPr>
            <w:r>
              <w:rPr>
                <w:rFonts w:eastAsia="Times New Roman"/>
              </w:rPr>
              <w:t>Stratégie informatizácie miestnej územnej samosprávy (SIMÚS) 2017-20</w:t>
            </w:r>
            <w:r>
              <w:rPr>
                <w:rFonts w:eastAsia="Times New Roman"/>
              </w:rPr>
              <w:t>22, schválený radou Združenia miest a obcí Slovenska, ktorý ako jeden z cieľov informatizácie MÚS definuje plošné rozšírenie riešenia, vytvoreného v rámci projektu DCOM.</w:t>
            </w:r>
          </w:p>
          <w:p w:rsidR="00000000" w:rsidRDefault="00EB04A8">
            <w:pPr>
              <w:numPr>
                <w:ilvl w:val="0"/>
                <w:numId w:val="2"/>
              </w:numPr>
              <w:spacing w:before="100" w:beforeAutospacing="1" w:after="100" w:afterAutospacing="1"/>
              <w:rPr>
                <w:rFonts w:eastAsia="Times New Roman"/>
              </w:rPr>
            </w:pPr>
            <w:r>
              <w:rPr>
                <w:rFonts w:eastAsia="Times New Roman"/>
              </w:rPr>
              <w:t>Odporúčanie postupu informatizácie územnej samosprávy, ktoré je vypracované ako výstup</w:t>
            </w:r>
            <w:r>
              <w:rPr>
                <w:rFonts w:eastAsia="Times New Roman"/>
              </w:rPr>
              <w:t xml:space="preserve"> pracovnej skupiny Informatizácia samosprávy v rámci ÚPPVII, napĺňa úlohu B.6. uznesenia vlády SR č.437 z 28.9.2016 a bude predložené na rokovanie vlády SR.</w:t>
            </w:r>
          </w:p>
          <w:p w:rsidR="00000000" w:rsidRDefault="00EB04A8">
            <w:pPr>
              <w:pStyle w:val="Normlnywebov"/>
            </w:pPr>
            <w:r>
              <w:t>Ďalším východiskom pre realizáciu projektu DCOM+ je existencia 624 obcí, ktoré sú zapojené v minimá</w:t>
            </w:r>
            <w:r>
              <w:t>lnom režime ( miniDCOM+) so záväzkom naplno vstúpiť do IS DCOM.</w:t>
            </w:r>
          </w:p>
          <w:p w:rsidR="00000000" w:rsidRDefault="00EB04A8">
            <w:pPr>
              <w:pStyle w:val="Normlnywebov"/>
            </w:pPr>
            <w:r>
              <w:t xml:space="preserve">Pripájanie ďalších obcí do vládneho cloudu pre využitie už existujúcich služieb IS DCOM prostredníctvom dopytovo orientovaných projektov by bolo administratívne veľmi náročné. Pre menšie obce </w:t>
            </w:r>
            <w:r>
              <w:t xml:space="preserve">by dokonca administratívne náklady mohli presiahnuť hodnotu vecnej časti projektu. </w:t>
            </w:r>
            <w:r>
              <w:rPr>
                <w:rStyle w:val="Siln"/>
              </w:rPr>
              <w:t>Preto je pre tento zámer navrhovaná forma národného projektu</w:t>
            </w:r>
            <w:r>
              <w:t>.</w:t>
            </w:r>
          </w:p>
        </w:tc>
      </w:tr>
      <w:tr w:rsidR="00000000">
        <w:trPr>
          <w:divId w:val="2087485117"/>
          <w:cantSplit/>
          <w:tblCellSpacing w:w="15" w:type="dxa"/>
        </w:trPr>
        <w:tc>
          <w:tcPr>
            <w:tcW w:w="0" w:type="auto"/>
            <w:gridSpan w:val="2"/>
            <w:vAlign w:val="center"/>
            <w:hideMark/>
          </w:tcPr>
          <w:p w:rsidR="00000000" w:rsidRDefault="00EB04A8">
            <w:pPr>
              <w:pStyle w:val="Normlnywebov"/>
            </w:pPr>
            <w:r>
              <w:rPr>
                <w:rStyle w:val="Siln"/>
              </w:rPr>
              <w:t>Prijímateľa/partnera národného projektu a dôvod jeho určenia</w:t>
            </w:r>
          </w:p>
        </w:tc>
      </w:tr>
      <w:tr w:rsidR="00000000">
        <w:trPr>
          <w:divId w:val="2087485117"/>
          <w:cantSplit/>
          <w:tblCellSpacing w:w="15" w:type="dxa"/>
        </w:trPr>
        <w:tc>
          <w:tcPr>
            <w:tcW w:w="0" w:type="auto"/>
            <w:gridSpan w:val="2"/>
            <w:vAlign w:val="center"/>
            <w:hideMark/>
          </w:tcPr>
          <w:p w:rsidR="00000000" w:rsidRDefault="00EB04A8">
            <w:pPr>
              <w:pStyle w:val="Normlnywebov"/>
            </w:pPr>
            <w:r>
              <w:t>Prijímateľom národného projektu DCOM+, a zárov</w:t>
            </w:r>
            <w:r>
              <w:t>eň autorom tejto štúdie uskutočniteľnosti je DEUS, ktorý v zmysle</w:t>
            </w:r>
            <w:r>
              <w:t xml:space="preserve"> </w:t>
            </w:r>
            <w:r>
              <w:rPr>
                <w:rStyle w:val="inline-comment-marker"/>
              </w:rPr>
              <w:t>§ 9a odsek 1 zákona č. 305/2013 Z.z.o elektronickej podobe výkonu pôsobností orgánov verejnej moci (eGovernmente</w:t>
            </w:r>
            <w:r>
              <w:rPr>
                <w:rStyle w:val="inline-comment-marker"/>
              </w:rPr>
              <w:t>)</w:t>
            </w:r>
            <w:r>
              <w:t xml:space="preserve"> vykonáva činnosti správcu a prevádzkovateľa IS DCOM. DEUS je záujmové združe</w:t>
            </w:r>
            <w:r>
              <w:t>nie právnických osôb DataCentrum elektronizácie územnej samosprávy Slovenska, ktorého jedinými členmi sú MF SR a ZMOS.</w:t>
            </w:r>
          </w:p>
          <w:p w:rsidR="00000000" w:rsidRDefault="00EB04A8">
            <w:pPr>
              <w:pStyle w:val="Normlnywebov"/>
            </w:pPr>
            <w:r>
              <w:t>Zákon o eGovernmente, zároveň vymedzuje IS DCOM ako nadrezortný informačný systém verejnej správy, ktorý poskytuje obciam technické a pro</w:t>
            </w:r>
            <w:r>
              <w:t>gramové prostriedky na výkon verejnej moci elektronicky, na prevádzkovanie ISVSv ich správe a na zabezpečenie základných činností v oblasti elektronického výkonu vnútorných agend a prevádzku ostatných IS, ktoré obec používa.</w:t>
            </w:r>
          </w:p>
          <w:p w:rsidR="00000000" w:rsidRDefault="00EB04A8">
            <w:pPr>
              <w:pStyle w:val="Normlnywebov"/>
            </w:pPr>
            <w:r>
              <w:t>Partnerom národného projektu bu</w:t>
            </w:r>
            <w:r>
              <w:t>de Úrad podpredsedu vlády Slovenskej republiky pre investície a informatizáciu (ďalej len „ÚPPVII“), ktorý je v zmysle ods. § 34a, bodu 1b) Zákona č. 575/2001 Z. z. o organizácii činnosti vlády a organizácii ústrednej štátnej správy ústredným orgánom štátn</w:t>
            </w:r>
            <w:r>
              <w:t xml:space="preserve">ej správy pre oblasť informatizácie spoločnosti. V súlade s Operačným programom Integrovaná infraštruktúra 2014 - 2020 si bude ÚPPVII uplatňovať maximálne 3 % oprávnených výdavkov projektu pre implementáciu štandardov riadenia informačno - technologických </w:t>
            </w:r>
            <w:r>
              <w:t>projektov, ktoré zabezpečia aktívnu participáciu na riadení projektu a komplexné riadenie budovania informačnej spoločnosti</w:t>
            </w:r>
          </w:p>
          <w:p w:rsidR="00000000" w:rsidRDefault="00EB04A8">
            <w:pPr>
              <w:pStyle w:val="Normlnywebov"/>
            </w:pPr>
            <w:r>
              <w:t> </w:t>
            </w:r>
          </w:p>
        </w:tc>
      </w:tr>
      <w:tr w:rsidR="00000000">
        <w:trPr>
          <w:divId w:val="2087485117"/>
          <w:cantSplit/>
          <w:tblCellSpacing w:w="15" w:type="dxa"/>
        </w:trPr>
        <w:tc>
          <w:tcPr>
            <w:tcW w:w="0" w:type="auto"/>
            <w:vAlign w:val="center"/>
            <w:hideMark/>
          </w:tcPr>
          <w:p w:rsidR="00000000" w:rsidRDefault="00EB04A8">
            <w:pPr>
              <w:pStyle w:val="Normlnywebov"/>
            </w:pPr>
            <w:r>
              <w:rPr>
                <w:rStyle w:val="Siln"/>
              </w:rPr>
              <w:t>Príslušnosť národného projektu k relevantnej časti PO7 OPII</w:t>
            </w:r>
          </w:p>
        </w:tc>
        <w:tc>
          <w:tcPr>
            <w:tcW w:w="0" w:type="auto"/>
            <w:vAlign w:val="center"/>
            <w:hideMark/>
          </w:tcPr>
          <w:p w:rsidR="00000000" w:rsidRDefault="00EB04A8">
            <w:pPr>
              <w:pStyle w:val="Normlnywebov"/>
            </w:pPr>
            <w:r>
              <w:t>Národný projekt „Migrácia IS obcí do vládneho cloudu – plošné rozšírenie IS DCOM – 2. etapa“ patrí do Operačného programu Integrovaná infraštruktúra (OPII) - Prioritná os 7 Informačná spoločnosť.</w:t>
            </w:r>
          </w:p>
          <w:p w:rsidR="00000000" w:rsidRDefault="00EB04A8">
            <w:pPr>
              <w:pStyle w:val="Normlnywebov"/>
            </w:pPr>
            <w:r>
              <w:t>INVESTIČNÁ PRIORITA 2c): Posilnenie aplikácií IKT v rámci el</w:t>
            </w:r>
            <w:r>
              <w:t>ektronickej štátnej správy, elektronického vzdelávania, elektronickej inklúzie, elektronickej kultúry a elektronického zdravotníctva</w:t>
            </w:r>
          </w:p>
          <w:p w:rsidR="00000000" w:rsidRDefault="00EB04A8">
            <w:pPr>
              <w:pStyle w:val="Normlnywebov"/>
            </w:pPr>
            <w:r>
              <w:t>ŠPECIFICKÝ CIEĽ 7.8: Racionalizácia prevádzky informačných systémov pomocou eGovernment cloudu</w:t>
            </w:r>
          </w:p>
          <w:p w:rsidR="00000000" w:rsidRDefault="00EB04A8">
            <w:pPr>
              <w:pStyle w:val="Normlnywebov"/>
            </w:pPr>
            <w:r>
              <w:t>Typy aktivít:</w:t>
            </w:r>
          </w:p>
          <w:p w:rsidR="00000000" w:rsidRDefault="00EB04A8">
            <w:pPr>
              <w:numPr>
                <w:ilvl w:val="0"/>
                <w:numId w:val="3"/>
              </w:numPr>
              <w:spacing w:before="100" w:beforeAutospacing="1" w:after="100" w:afterAutospacing="1"/>
              <w:rPr>
                <w:rFonts w:eastAsia="Times New Roman"/>
              </w:rPr>
            </w:pPr>
            <w:r>
              <w:rPr>
                <w:rFonts w:eastAsia="Times New Roman"/>
              </w:rPr>
              <w:t>Migrácia infor</w:t>
            </w:r>
            <w:r>
              <w:rPr>
                <w:rFonts w:eastAsia="Times New Roman"/>
              </w:rPr>
              <w:t>mačných systémov VS do eGovernment cloudu,</w:t>
            </w:r>
          </w:p>
          <w:p w:rsidR="00000000" w:rsidRDefault="00EB04A8">
            <w:pPr>
              <w:numPr>
                <w:ilvl w:val="0"/>
                <w:numId w:val="3"/>
              </w:numPr>
              <w:spacing w:before="100" w:beforeAutospacing="1" w:after="100" w:afterAutospacing="1"/>
              <w:rPr>
                <w:rFonts w:eastAsia="Times New Roman"/>
              </w:rPr>
            </w:pPr>
            <w:r>
              <w:rPr>
                <w:rFonts w:eastAsia="Times New Roman"/>
              </w:rPr>
              <w:t>Zabezpečenie využívania cloudových služieb,</w:t>
            </w:r>
          </w:p>
          <w:p w:rsidR="00000000" w:rsidRDefault="00EB04A8">
            <w:pPr>
              <w:numPr>
                <w:ilvl w:val="0"/>
                <w:numId w:val="3"/>
              </w:numPr>
              <w:spacing w:before="100" w:beforeAutospacing="1" w:after="100" w:afterAutospacing="1"/>
              <w:rPr>
                <w:rFonts w:eastAsia="Times New Roman"/>
              </w:rPr>
            </w:pPr>
            <w:r>
              <w:rPr>
                <w:rFonts w:eastAsia="Times New Roman"/>
              </w:rPr>
              <w:t>Analýza možností migrácie do eGovernment cloudu pre inštitúcie VS,</w:t>
            </w:r>
          </w:p>
          <w:p w:rsidR="00000000" w:rsidRDefault="00EB04A8">
            <w:pPr>
              <w:numPr>
                <w:ilvl w:val="0"/>
                <w:numId w:val="3"/>
              </w:numPr>
              <w:spacing w:before="100" w:beforeAutospacing="1" w:after="100" w:afterAutospacing="1"/>
              <w:rPr>
                <w:rFonts w:eastAsia="Times New Roman"/>
              </w:rPr>
            </w:pPr>
            <w:r>
              <w:rPr>
                <w:rFonts w:eastAsia="Times New Roman"/>
              </w:rPr>
              <w:t>Vybudovanie IKT infraštruktúry v dátovom centre.</w:t>
            </w:r>
          </w:p>
          <w:p w:rsidR="00000000" w:rsidRDefault="00EB04A8">
            <w:pPr>
              <w:pStyle w:val="Normlnywebov"/>
            </w:pPr>
            <w:r>
              <w:t>Hlavné výstupy sa týkajú verejnej správy a jej možnej reformy vďaka efektívnemu využitiu informačných technológii a zavádzaniu vládneho cloudu a tak prispievajú k optimalizácii využitia informačných technológii vo verejnej správe vďaka platforme zdieľaných</w:t>
            </w:r>
            <w:r>
              <w:t xml:space="preserve"> služieb.</w:t>
            </w:r>
          </w:p>
          <w:p w:rsidR="00000000" w:rsidRDefault="00EB04A8">
            <w:pPr>
              <w:pStyle w:val="Normlnywebov"/>
            </w:pPr>
            <w:r>
              <w:t>Projekt sa venuje vytváraniu predpokladov pre sprístupnenie elektronických služieb samospráv pre všetkých a vytváraniu podmienok pre zabezpečenie migrácie samospráv do eGovernment cloudu, vrátane centrálneho verejného obstarávania IKT pre tieto s</w:t>
            </w:r>
            <w:r>
              <w:t>amosprávy a ich následnej správy a prevádzky</w:t>
            </w:r>
          </w:p>
          <w:p w:rsidR="00000000" w:rsidRDefault="00EB04A8">
            <w:pPr>
              <w:pStyle w:val="Normlnywebov"/>
            </w:pPr>
            <w:r>
              <w:t>Projekt významne prispieva k zníženiu nákladov na prevádzku ISVS a priložené výpočty CBA a/alebo ďalšie nástroje na simuláciu nákladov pracujú s realistickými hodnotami a predpokladmi. Cieľová hodnota znižovania</w:t>
            </w:r>
            <w:r>
              <w:t xml:space="preserve"> nákladov je min. 10,01 % percenta pri zapojení 1 053 344 obyvateľov a pri zapojení 1 261 426 obyvateľov do DCOM+ môže dosiahnuť 17,26 %.</w:t>
            </w:r>
          </w:p>
        </w:tc>
      </w:tr>
      <w:tr w:rsidR="00000000">
        <w:trPr>
          <w:divId w:val="2087485117"/>
          <w:cantSplit/>
          <w:tblCellSpacing w:w="15" w:type="dxa"/>
        </w:trPr>
        <w:tc>
          <w:tcPr>
            <w:tcW w:w="0" w:type="auto"/>
            <w:vAlign w:val="center"/>
            <w:hideMark/>
          </w:tcPr>
          <w:p w:rsidR="00000000" w:rsidRDefault="00EB04A8">
            <w:pPr>
              <w:pStyle w:val="Normlnywebov"/>
            </w:pPr>
            <w:r>
              <w:rPr>
                <w:rStyle w:val="Siln"/>
              </w:rPr>
              <w:t>Indikatívna výška finančných prostriedkov určených na realizáciu národného projektu</w:t>
            </w:r>
          </w:p>
        </w:tc>
        <w:tc>
          <w:tcPr>
            <w:tcW w:w="0" w:type="auto"/>
            <w:vAlign w:val="center"/>
            <w:hideMark/>
          </w:tcPr>
          <w:p w:rsidR="00000000" w:rsidRDefault="00EB04A8">
            <w:pPr>
              <w:pStyle w:val="Normlnywebov"/>
            </w:pPr>
            <w:r>
              <w:t> </w:t>
            </w:r>
            <w:r>
              <w:rPr>
                <w:rStyle w:val="Siln"/>
              </w:rPr>
              <w:t>31 440 257,18 EUR s DPH</w:t>
            </w:r>
          </w:p>
        </w:tc>
      </w:tr>
    </w:tbl>
    <w:p w:rsidR="00000000" w:rsidRDefault="00EB04A8">
      <w:pPr>
        <w:pStyle w:val="Normlnywebov"/>
      </w:pPr>
      <w:r>
        <w:t> </w:t>
      </w:r>
    </w:p>
    <w:p w:rsidR="00000000" w:rsidRDefault="00EB04A8">
      <w:pPr>
        <w:pStyle w:val="Nadpis2"/>
        <w:rPr>
          <w:rFonts w:eastAsia="Times New Roman"/>
        </w:rPr>
      </w:pPr>
      <w:r>
        <w:rPr>
          <w:rFonts w:eastAsia="Times New Roman"/>
        </w:rPr>
        <w:t>1</w:t>
      </w:r>
      <w:r>
        <w:rPr>
          <w:rFonts w:eastAsia="Times New Roman"/>
        </w:rPr>
        <w:t>.2.</w:t>
      </w:r>
      <w:r>
        <w:rPr>
          <w:rFonts w:eastAsia="Times New Roman"/>
        </w:rPr>
        <w:t xml:space="preserve"> </w:t>
      </w:r>
      <w:r>
        <w:rPr>
          <w:rStyle w:val="inline-comment-marker"/>
          <w:rFonts w:eastAsia="Times New Roman"/>
        </w:rPr>
        <w:t>Dôvo</w:t>
      </w:r>
      <w:r>
        <w:rPr>
          <w:rStyle w:val="inline-comment-marker"/>
          <w:rFonts w:eastAsia="Times New Roman"/>
        </w:rPr>
        <w:t>d</w:t>
      </w:r>
    </w:p>
    <w:p w:rsidR="00000000" w:rsidRDefault="00EB04A8">
      <w:pPr>
        <w:pStyle w:val="Normlnywebov"/>
      </w:pPr>
      <w:r>
        <w:t>Cieľom štúdie uskutočniteľnosti projektu DCOM+ je migrácia IS obcí do vládneho cloudu a vytvorenie predpokladov na pripojenie ďalších obcí a miest do vládneho cloudu a tak dosiahnuť zníženie nákladov pri rozširovaní dostupnosti eGov služieb v sam</w:t>
      </w:r>
      <w:r>
        <w:t>ospráve využitím už vybudovanej informačnej a komunikačnej infraštruktúry a zdieľaných cloudových služieb IS DCOM.</w:t>
      </w:r>
    </w:p>
    <w:p w:rsidR="00000000" w:rsidRDefault="00EB04A8">
      <w:pPr>
        <w:pStyle w:val="Normlnywebov"/>
      </w:pPr>
      <w:r>
        <w:t>Projekt vytvorí podmienky a predpoklady pre ďalšie znižovanie nákladov v samospráve, nakoľko zabezpečí unifikáciu prostredia pre prevádzku in</w:t>
      </w:r>
      <w:r>
        <w:t>formačných systémov poskytujúcich eGovernment služby, optimalizuje využitie zdrojov, zníži obstarávacie a prevádzkové náklady a zvýši kvalitu aj efektivitu prevádzky informačných systémov v samospráve.</w:t>
      </w:r>
    </w:p>
    <w:p w:rsidR="00000000" w:rsidRDefault="00EB04A8">
      <w:pPr>
        <w:pStyle w:val="Normlnywebov"/>
      </w:pPr>
      <w:r>
        <w:t>Primárne sa jedná o </w:t>
      </w:r>
      <w:r>
        <w:t>pripojenie ďalších obcí do už existujúceho IS DCOM, a čiastočné posilnenie centrálneho výpočtového výkonu zodpovedajúce nárastu počtu pripojených obcí. Plošné rozšírenie zdieľaných cloudových služieb pre obce a mestá rôznych veľkostných segmentov je časovo</w:t>
      </w:r>
      <w:r>
        <w:t xml:space="preserve"> náročná úloha, a preto musí byť realizovaná v postupných krokoch. O projekt DCOM+ už prejavilo záujem 624 obcí, zmluvným záväzkom zapojenia sa do projektu miniDCOM+. Okrem toho sa predpokladá záujem ďalších 433 obcí. Spolu tak bude mať projekt DCOM+ vytvo</w:t>
      </w:r>
      <w:r>
        <w:t>rené predpoklady na pripojenie ďalších 1 073 nových obcí a dovybavenie 1 474 obcí novými službami infraštruktúry, čo predstavuje cieľový stav 86% samosprávy. Len na okraj dodávame, že zámerom projektu nie je vývoj nových služieb, ale rollout a využívanie u</w:t>
      </w:r>
      <w:r>
        <w:t>ž existujúcich zdieľaných služieb, ktoré využívajú obce pôvodne pripojené do projektu DCOM. Nedôjde ku zmenám v rozsahu poskytovaných služieb, zmenám procesov v rámci IS DCOM ani k zavádzaniu nového agendového IS.</w:t>
      </w:r>
    </w:p>
    <w:p w:rsidR="00000000" w:rsidRDefault="00EB04A8">
      <w:pPr>
        <w:pStyle w:val="Normlnywebov"/>
      </w:pPr>
      <w:r>
        <w:t>Riešenie priamo nadväzuje na nasledujúce s</w:t>
      </w:r>
      <w:r>
        <w:t>trategické dokumenty:</w:t>
      </w:r>
    </w:p>
    <w:p w:rsidR="00000000" w:rsidRDefault="00EB04A8">
      <w:pPr>
        <w:numPr>
          <w:ilvl w:val="0"/>
          <w:numId w:val="4"/>
        </w:numPr>
        <w:spacing w:before="100" w:beforeAutospacing="1" w:after="100" w:afterAutospacing="1"/>
        <w:rPr>
          <w:rFonts w:eastAsia="Times New Roman"/>
        </w:rPr>
      </w:pPr>
      <w:r>
        <w:rPr>
          <w:rFonts w:eastAsia="Times New Roman"/>
        </w:rPr>
        <w:t>Pozičný dokument Európskej komisie k vypracovaniu Partnerskej dohody a programov na roky 2014-2020, kde jednou z piatich priorít je moderná a odborná verejná správa,</w:t>
      </w:r>
    </w:p>
    <w:p w:rsidR="00000000" w:rsidRDefault="00EB04A8">
      <w:pPr>
        <w:numPr>
          <w:ilvl w:val="0"/>
          <w:numId w:val="4"/>
        </w:numPr>
        <w:spacing w:before="100" w:beforeAutospacing="1" w:after="100" w:afterAutospacing="1"/>
        <w:rPr>
          <w:rFonts w:eastAsia="Times New Roman"/>
        </w:rPr>
      </w:pPr>
      <w:r>
        <w:rPr>
          <w:rFonts w:eastAsia="Times New Roman"/>
        </w:rPr>
        <w:t>Strategický dokument pre oblasť rastu digitálnych služieb a oblasť i</w:t>
      </w:r>
      <w:r>
        <w:rPr>
          <w:rFonts w:eastAsia="Times New Roman"/>
        </w:rPr>
        <w:t>nfraštruktúry prístupovej siete novej generácie (2014 - 2020),</w:t>
      </w:r>
    </w:p>
    <w:p w:rsidR="00000000" w:rsidRDefault="00EB04A8">
      <w:pPr>
        <w:numPr>
          <w:ilvl w:val="0"/>
          <w:numId w:val="4"/>
        </w:numPr>
        <w:spacing w:before="100" w:beforeAutospacing="1" w:after="100" w:afterAutospacing="1"/>
        <w:rPr>
          <w:rFonts w:eastAsia="Times New Roman"/>
        </w:rPr>
      </w:pPr>
      <w:r>
        <w:rPr>
          <w:rFonts w:eastAsia="Times New Roman"/>
        </w:rPr>
        <w:t>Návrh centralizácie a rozvoja dátových centier v štátnej správe“, ktorý bol schválený uznesením vlády SR č. 247/2014,</w:t>
      </w:r>
    </w:p>
    <w:p w:rsidR="00000000" w:rsidRDefault="00EB04A8">
      <w:pPr>
        <w:numPr>
          <w:ilvl w:val="0"/>
          <w:numId w:val="4"/>
        </w:numPr>
        <w:spacing w:before="100" w:beforeAutospacing="1" w:after="100" w:afterAutospacing="1"/>
        <w:rPr>
          <w:rFonts w:eastAsia="Times New Roman"/>
        </w:rPr>
      </w:pPr>
      <w:r>
        <w:rPr>
          <w:rFonts w:eastAsia="Times New Roman"/>
        </w:rPr>
        <w:t>Operačný program Integrovaná infraštruktúra 2014 – 2020,</w:t>
      </w:r>
    </w:p>
    <w:p w:rsidR="00000000" w:rsidRDefault="00EB04A8">
      <w:pPr>
        <w:numPr>
          <w:ilvl w:val="0"/>
          <w:numId w:val="4"/>
        </w:numPr>
        <w:spacing w:before="100" w:beforeAutospacing="1" w:after="100" w:afterAutospacing="1"/>
        <w:rPr>
          <w:rFonts w:eastAsia="Times New Roman"/>
        </w:rPr>
      </w:pPr>
      <w:r>
        <w:rPr>
          <w:rFonts w:eastAsia="Times New Roman"/>
        </w:rPr>
        <w:t xml:space="preserve">Národná koncepcia </w:t>
      </w:r>
      <w:r>
        <w:rPr>
          <w:rFonts w:eastAsia="Times New Roman"/>
        </w:rPr>
        <w:t>informatizácie Verejnej správy 2016 (NKIVS).</w:t>
      </w:r>
    </w:p>
    <w:p w:rsidR="00000000" w:rsidRDefault="00EB04A8">
      <w:pPr>
        <w:numPr>
          <w:ilvl w:val="0"/>
          <w:numId w:val="4"/>
        </w:numPr>
        <w:spacing w:before="100" w:beforeAutospacing="1" w:after="100" w:afterAutospacing="1"/>
        <w:rPr>
          <w:rFonts w:eastAsia="Times New Roman"/>
        </w:rPr>
      </w:pPr>
      <w:r>
        <w:rPr>
          <w:rFonts w:eastAsia="Times New Roman"/>
        </w:rPr>
        <w:t>Strategická priorita: Vládny cloud.</w:t>
      </w:r>
    </w:p>
    <w:p w:rsidR="00000000" w:rsidRDefault="00EB04A8">
      <w:pPr>
        <w:numPr>
          <w:ilvl w:val="0"/>
          <w:numId w:val="4"/>
        </w:numPr>
        <w:spacing w:before="100" w:beforeAutospacing="1" w:after="100" w:afterAutospacing="1"/>
        <w:rPr>
          <w:rFonts w:eastAsia="Times New Roman"/>
        </w:rPr>
      </w:pPr>
      <w:r>
        <w:rPr>
          <w:rFonts w:eastAsia="Times New Roman"/>
        </w:rPr>
        <w:t>Stratégia informatizácie miestnej územnej samosprávy (SIMÚS) 2017-2022,</w:t>
      </w:r>
    </w:p>
    <w:p w:rsidR="00000000" w:rsidRDefault="00EB04A8">
      <w:pPr>
        <w:numPr>
          <w:ilvl w:val="0"/>
          <w:numId w:val="4"/>
        </w:numPr>
        <w:spacing w:before="100" w:beforeAutospacing="1" w:after="100" w:afterAutospacing="1"/>
        <w:rPr>
          <w:rFonts w:eastAsia="Times New Roman"/>
        </w:rPr>
      </w:pPr>
      <w:r>
        <w:rPr>
          <w:rFonts w:eastAsia="Times New Roman"/>
        </w:rPr>
        <w:t>Odporúčanie postupu informatizácie územnej samosprávy</w:t>
      </w:r>
    </w:p>
    <w:p w:rsidR="00000000" w:rsidRDefault="00EB04A8">
      <w:pPr>
        <w:numPr>
          <w:ilvl w:val="0"/>
          <w:numId w:val="4"/>
        </w:numPr>
        <w:spacing w:before="100" w:beforeAutospacing="1" w:after="100" w:afterAutospacing="1"/>
        <w:rPr>
          <w:rFonts w:eastAsia="Times New Roman"/>
        </w:rPr>
      </w:pPr>
      <w:r>
        <w:rPr>
          <w:rFonts w:eastAsia="Times New Roman"/>
        </w:rPr>
        <w:t>Detailný akčný plán informatizácie verejnej správ</w:t>
      </w:r>
      <w:r>
        <w:rPr>
          <w:rFonts w:eastAsia="Times New Roman"/>
        </w:rPr>
        <w:t>y (2017-2020).</w:t>
      </w:r>
    </w:p>
    <w:p w:rsidR="00000000" w:rsidRDefault="00EB04A8">
      <w:pPr>
        <w:pStyle w:val="Nadpis2"/>
        <w:rPr>
          <w:rFonts w:eastAsia="Times New Roman"/>
        </w:rPr>
      </w:pPr>
      <w:r>
        <w:rPr>
          <w:rFonts w:eastAsia="Times New Roman"/>
        </w:rPr>
        <w:t>1.3 Rozsah</w:t>
      </w:r>
    </w:p>
    <w:p w:rsidR="00000000" w:rsidRDefault="00EB04A8">
      <w:pPr>
        <w:pStyle w:val="Normlnywebov"/>
      </w:pPr>
      <w:r>
        <w:t>V programovom období 2007-2013 bol zrealizovaný národný projekt DCOM, ktorého výsledkom je IS DCOM uvedený do prevádzky k 1.12.2015 s</w:t>
      </w:r>
      <w:r>
        <w:t> </w:t>
      </w:r>
      <w:r>
        <w:rPr>
          <w:rStyle w:val="inline-comment-marker"/>
        </w:rPr>
        <w:t>151</w:t>
      </w:r>
      <w:r>
        <w:rPr>
          <w:rStyle w:val="inline-comment-marker"/>
        </w:rPr>
        <w:t>1</w:t>
      </w:r>
      <w:r>
        <w:t xml:space="preserve"> pripojenými obcami a mestami. IS DCOM poskytuje zdieľané služby typu SaaS pripojeným obciam</w:t>
      </w:r>
      <w:r>
        <w:t xml:space="preserve"> a mestám.</w:t>
      </w:r>
    </w:p>
    <w:p w:rsidR="00000000" w:rsidRDefault="00EB04A8">
      <w:pPr>
        <w:pStyle w:val="Normlnywebov"/>
      </w:pPr>
      <w:r>
        <w:t>Záujem o implementáciu riešenia prekročil predpokladaný záujem obcí. Ešte pred uplynutím lehoty pre splnenie podmienok zákona o eGovernmente bol realizovaný projekt miniDCOM+, ktorý ponúkol minimálny set potrebných služieb s vysokou úžitkovou ho</w:t>
      </w:r>
      <w:r>
        <w:t>dnotou. Do projektu miniDCOM+ sa zapojilo k</w:t>
      </w:r>
      <w:r>
        <w:t> </w:t>
      </w:r>
      <w:r>
        <w:rPr>
          <w:rStyle w:val="inline-comment-marker"/>
        </w:rPr>
        <w:t>1.5.201</w:t>
      </w:r>
      <w:r>
        <w:rPr>
          <w:rStyle w:val="inline-comment-marker"/>
        </w:rPr>
        <w:t>7</w:t>
      </w:r>
      <w:r>
        <w:t xml:space="preserve"> 624 obcí s 0,81 mil. obyvateľov. Tieto obce po vyhlásení projektu DCOM+ (na ktorý sa vzťahuje táto štúdia) majú zmluvnú povinnosť sa plnohodnotne zapojiť do DCOM s rovnakými podmienkami ako obce zapojené</w:t>
      </w:r>
      <w:r>
        <w:t xml:space="preserve"> do národného projektu DCOM.</w:t>
      </w:r>
    </w:p>
    <w:p w:rsidR="00000000" w:rsidRDefault="00EB04A8">
      <w:pPr>
        <w:pStyle w:val="Normlnywebov"/>
      </w:pPr>
      <w:r>
        <w:t>Nasledujúca tabuľka poskytuje prehľad počtu obcí a miest z pohľadu ich pripojenia do DCOM k 1.5.2017 (demografické údaje o počte obyvateľov sú platné k 31.12.2016):</w:t>
      </w:r>
    </w:p>
    <w:p w:rsidR="00000000" w:rsidRDefault="00EB04A8">
      <w:pPr>
        <w:pStyle w:val="Normlnywebov"/>
      </w:pPr>
      <w:r>
        <w:t>Tabuľka 1.2  Počet obcí a miest v IS DCOM k 1.5.2017 </w:t>
      </w:r>
      <w:r>
        <w:rPr>
          <w:color w:val="000000"/>
          <w:sz w:val="27"/>
          <w:szCs w:val="27"/>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663"/>
        <w:gridCol w:w="1067"/>
        <w:gridCol w:w="1766"/>
      </w:tblGrid>
      <w:tr w:rsidR="00000000">
        <w:trPr>
          <w:divId w:val="133717444"/>
          <w:cantSplit/>
          <w:tblCellSpacing w:w="15" w:type="dxa"/>
        </w:trPr>
        <w:tc>
          <w:tcPr>
            <w:tcW w:w="0" w:type="auto"/>
            <w:vAlign w:val="center"/>
            <w:hideMark/>
          </w:tcPr>
          <w:p w:rsidR="00000000" w:rsidRDefault="00EB04A8">
            <w:pPr>
              <w:pStyle w:val="Normlnywebov"/>
            </w:pPr>
            <w:r>
              <w:t>Obce a </w:t>
            </w:r>
            <w:r>
              <w:t>mestá</w:t>
            </w:r>
          </w:p>
        </w:tc>
        <w:tc>
          <w:tcPr>
            <w:tcW w:w="0" w:type="auto"/>
            <w:vAlign w:val="center"/>
            <w:hideMark/>
          </w:tcPr>
          <w:p w:rsidR="00000000" w:rsidRDefault="00EB04A8">
            <w:pPr>
              <w:pStyle w:val="Normlnywebov"/>
              <w:jc w:val="center"/>
            </w:pPr>
            <w:r>
              <w:t>Počet obcí</w:t>
            </w:r>
          </w:p>
        </w:tc>
        <w:tc>
          <w:tcPr>
            <w:tcW w:w="0" w:type="auto"/>
            <w:vAlign w:val="center"/>
            <w:hideMark/>
          </w:tcPr>
          <w:p w:rsidR="00000000" w:rsidRDefault="00EB04A8">
            <w:pPr>
              <w:pStyle w:val="Normlnywebov"/>
              <w:jc w:val="center"/>
            </w:pPr>
            <w:r>
              <w:t>Počet obyvateľov</w:t>
            </w:r>
          </w:p>
        </w:tc>
      </w:tr>
      <w:tr w:rsidR="00000000">
        <w:trPr>
          <w:divId w:val="133717444"/>
          <w:cantSplit/>
          <w:tblCellSpacing w:w="15" w:type="dxa"/>
        </w:trPr>
        <w:tc>
          <w:tcPr>
            <w:tcW w:w="0" w:type="auto"/>
            <w:vAlign w:val="center"/>
            <w:hideMark/>
          </w:tcPr>
          <w:p w:rsidR="00000000" w:rsidRDefault="00EB04A8">
            <w:pPr>
              <w:pStyle w:val="Normlnywebov"/>
            </w:pPr>
            <w:r>
              <w:t>Obce a mestá pripojené do IS DCOM</w:t>
            </w:r>
          </w:p>
        </w:tc>
        <w:tc>
          <w:tcPr>
            <w:tcW w:w="0" w:type="auto"/>
            <w:vAlign w:val="center"/>
            <w:hideMark/>
          </w:tcPr>
          <w:p w:rsidR="00000000" w:rsidRDefault="00EB04A8">
            <w:pPr>
              <w:pStyle w:val="Normlnywebov"/>
              <w:jc w:val="center"/>
            </w:pPr>
            <w:r>
              <w:t>1 474</w:t>
            </w:r>
          </w:p>
        </w:tc>
        <w:tc>
          <w:tcPr>
            <w:tcW w:w="0" w:type="auto"/>
            <w:vAlign w:val="center"/>
            <w:hideMark/>
          </w:tcPr>
          <w:p w:rsidR="00000000" w:rsidRDefault="00EB04A8">
            <w:pPr>
              <w:pStyle w:val="Normlnywebov"/>
              <w:jc w:val="center"/>
            </w:pPr>
            <w:r>
              <w:t>1 322 718</w:t>
            </w:r>
          </w:p>
        </w:tc>
      </w:tr>
      <w:tr w:rsidR="00000000">
        <w:trPr>
          <w:divId w:val="133717444"/>
          <w:cantSplit/>
          <w:tblCellSpacing w:w="15" w:type="dxa"/>
        </w:trPr>
        <w:tc>
          <w:tcPr>
            <w:tcW w:w="0" w:type="auto"/>
            <w:vAlign w:val="center"/>
            <w:hideMark/>
          </w:tcPr>
          <w:p w:rsidR="00000000" w:rsidRDefault="00EB04A8">
            <w:pPr>
              <w:pStyle w:val="Normlnywebov"/>
            </w:pPr>
            <w:r>
              <w:t>Obce a mestá zapojené v projekte miniDCOM+</w:t>
            </w:r>
          </w:p>
        </w:tc>
        <w:tc>
          <w:tcPr>
            <w:tcW w:w="0" w:type="auto"/>
            <w:vAlign w:val="center"/>
            <w:hideMark/>
          </w:tcPr>
          <w:p w:rsidR="00000000" w:rsidRDefault="00EB04A8">
            <w:pPr>
              <w:pStyle w:val="Normlnywebov"/>
              <w:jc w:val="center"/>
            </w:pPr>
            <w:r>
              <w:t>624</w:t>
            </w:r>
          </w:p>
        </w:tc>
        <w:tc>
          <w:tcPr>
            <w:tcW w:w="0" w:type="auto"/>
            <w:vAlign w:val="center"/>
            <w:hideMark/>
          </w:tcPr>
          <w:p w:rsidR="00000000" w:rsidRDefault="00EB04A8">
            <w:pPr>
              <w:pStyle w:val="Normlnywebov"/>
              <w:jc w:val="center"/>
            </w:pPr>
            <w:r>
              <w:t>814 442</w:t>
            </w:r>
          </w:p>
        </w:tc>
      </w:tr>
      <w:tr w:rsidR="00000000">
        <w:trPr>
          <w:divId w:val="133717444"/>
          <w:cantSplit/>
          <w:tblCellSpacing w:w="15" w:type="dxa"/>
        </w:trPr>
        <w:tc>
          <w:tcPr>
            <w:tcW w:w="0" w:type="auto"/>
            <w:vAlign w:val="center"/>
            <w:hideMark/>
          </w:tcPr>
          <w:p w:rsidR="00000000" w:rsidRDefault="00EB04A8">
            <w:pPr>
              <w:pStyle w:val="Normlnywebov"/>
            </w:pPr>
            <w:r>
              <w:t>Nezapojené obce</w:t>
            </w:r>
          </w:p>
        </w:tc>
        <w:tc>
          <w:tcPr>
            <w:tcW w:w="0" w:type="auto"/>
            <w:vAlign w:val="center"/>
            <w:hideMark/>
          </w:tcPr>
          <w:p w:rsidR="00000000" w:rsidRDefault="00EB04A8">
            <w:pPr>
              <w:pStyle w:val="Normlnywebov"/>
              <w:jc w:val="center"/>
            </w:pPr>
            <w:r>
              <w:t>707</w:t>
            </w:r>
          </w:p>
        </w:tc>
        <w:tc>
          <w:tcPr>
            <w:tcW w:w="0" w:type="auto"/>
            <w:vAlign w:val="center"/>
            <w:hideMark/>
          </w:tcPr>
          <w:p w:rsidR="00000000" w:rsidRDefault="00EB04A8">
            <w:pPr>
              <w:pStyle w:val="Normlnywebov"/>
              <w:jc w:val="center"/>
            </w:pPr>
            <w:r>
              <w:t>827 158</w:t>
            </w:r>
          </w:p>
        </w:tc>
      </w:tr>
      <w:tr w:rsidR="00000000">
        <w:trPr>
          <w:divId w:val="133717444"/>
          <w:cantSplit/>
          <w:tblCellSpacing w:w="15" w:type="dxa"/>
        </w:trPr>
        <w:tc>
          <w:tcPr>
            <w:tcW w:w="0" w:type="auto"/>
            <w:vAlign w:val="center"/>
            <w:hideMark/>
          </w:tcPr>
          <w:p w:rsidR="00000000" w:rsidRDefault="00EB04A8">
            <w:pPr>
              <w:pStyle w:val="Normlnywebov"/>
            </w:pPr>
            <w:r>
              <w:rPr>
                <w:rStyle w:val="inline-comment-marker"/>
              </w:rPr>
              <w:t>Nezapojené mestá a miestne čast</w:t>
            </w:r>
            <w:r>
              <w:rPr>
                <w:rStyle w:val="inline-comment-marker"/>
              </w:rPr>
              <w:t>i</w:t>
            </w:r>
          </w:p>
        </w:tc>
        <w:tc>
          <w:tcPr>
            <w:tcW w:w="0" w:type="auto"/>
            <w:vAlign w:val="center"/>
            <w:hideMark/>
          </w:tcPr>
          <w:p w:rsidR="00000000" w:rsidRDefault="00EB04A8">
            <w:pPr>
              <w:pStyle w:val="Normlnywebov"/>
              <w:jc w:val="center"/>
            </w:pPr>
            <w:r>
              <w:t>121</w:t>
            </w:r>
          </w:p>
        </w:tc>
        <w:tc>
          <w:tcPr>
            <w:tcW w:w="0" w:type="auto"/>
            <w:vAlign w:val="center"/>
            <w:hideMark/>
          </w:tcPr>
          <w:p w:rsidR="00000000" w:rsidRDefault="00EB04A8">
            <w:pPr>
              <w:pStyle w:val="Normlnywebov"/>
              <w:jc w:val="center"/>
            </w:pPr>
            <w:r>
              <w:t>2 471 025</w:t>
            </w:r>
          </w:p>
        </w:tc>
      </w:tr>
      <w:tr w:rsidR="00000000">
        <w:trPr>
          <w:divId w:val="133717444"/>
          <w:cantSplit/>
          <w:tblCellSpacing w:w="15" w:type="dxa"/>
        </w:trPr>
        <w:tc>
          <w:tcPr>
            <w:tcW w:w="0" w:type="auto"/>
            <w:vAlign w:val="center"/>
            <w:hideMark/>
          </w:tcPr>
          <w:p w:rsidR="00000000" w:rsidRDefault="00EB04A8">
            <w:pPr>
              <w:pStyle w:val="Normlnywebov"/>
            </w:pPr>
            <w:r>
              <w:t>Spolu</w:t>
            </w:r>
          </w:p>
        </w:tc>
        <w:tc>
          <w:tcPr>
            <w:tcW w:w="0" w:type="auto"/>
            <w:vAlign w:val="center"/>
            <w:hideMark/>
          </w:tcPr>
          <w:p w:rsidR="00000000" w:rsidRDefault="00EB04A8">
            <w:pPr>
              <w:pStyle w:val="Normlnywebov"/>
              <w:jc w:val="center"/>
            </w:pPr>
            <w:r>
              <w:t>2 926</w:t>
            </w:r>
          </w:p>
        </w:tc>
        <w:tc>
          <w:tcPr>
            <w:tcW w:w="0" w:type="auto"/>
            <w:vAlign w:val="center"/>
            <w:hideMark/>
          </w:tcPr>
          <w:p w:rsidR="00000000" w:rsidRDefault="00EB04A8">
            <w:pPr>
              <w:pStyle w:val="Normlnywebov"/>
              <w:jc w:val="center"/>
            </w:pPr>
            <w:r>
              <w:t>5 435 343</w:t>
            </w:r>
          </w:p>
        </w:tc>
      </w:tr>
    </w:tbl>
    <w:p w:rsidR="00000000" w:rsidRDefault="00EB04A8">
      <w:pPr>
        <w:pStyle w:val="Normlnywebov"/>
      </w:pPr>
      <w:r>
        <w:rPr>
          <w:color w:val="000000"/>
          <w:sz w:val="27"/>
          <w:szCs w:val="27"/>
        </w:rPr>
        <w:t>              </w:t>
      </w:r>
      <w:r>
        <w:rPr>
          <w:color w:val="000000"/>
          <w:sz w:val="27"/>
          <w:szCs w:val="27"/>
        </w:rPr>
        <w:t>               </w:t>
      </w:r>
    </w:p>
    <w:p w:rsidR="00000000" w:rsidRDefault="00EB04A8">
      <w:pPr>
        <w:pStyle w:val="Normlnywebov"/>
      </w:pPr>
      <w:r>
        <w:rPr>
          <w:color w:val="000000"/>
          <w:sz w:val="27"/>
          <w:szCs w:val="27"/>
        </w:rPr>
        <w:t> </w:t>
      </w:r>
      <w:r>
        <w:rPr>
          <w:rStyle w:val="Siln"/>
          <w:rFonts w:ascii="Arial Narrow" w:hAnsi="Arial Narrow"/>
          <w:color w:val="000000"/>
        </w:rPr>
        <w:t>Rozdelenie a porovnanie pripojených obcí a miest do segmentov podľa ich veľkostí (meranej počtom obyvateľov</w:t>
      </w:r>
      <w:r>
        <w:rPr>
          <w:rFonts w:ascii="Arial Narrow" w:hAnsi="Arial Narrow"/>
          <w:color w:val="000000"/>
        </w:rPr>
        <w:t>). Z nasledujúcich diagramov je zjavne</w:t>
      </w:r>
      <w:r>
        <w:rPr>
          <w:rFonts w:ascii="Arial Narrow" w:hAnsi="Arial Narrow"/>
          <w:color w:val="000000"/>
        </w:rPr>
        <w:t xml:space="preserve"> </w:t>
      </w:r>
      <w:r>
        <w:rPr>
          <w:rStyle w:val="inline-comment-marker"/>
          <w:rFonts w:ascii="Arial Narrow" w:hAnsi="Arial Narrow"/>
          <w:color w:val="000000"/>
        </w:rPr>
        <w:t>viditeľn</w:t>
      </w:r>
      <w:r>
        <w:rPr>
          <w:rStyle w:val="inline-comment-marker"/>
          <w:rFonts w:ascii="Arial Narrow" w:hAnsi="Arial Narrow"/>
          <w:color w:val="000000"/>
        </w:rPr>
        <w:t>á</w:t>
      </w:r>
      <w:r>
        <w:rPr>
          <w:rFonts w:ascii="Arial Narrow" w:hAnsi="Arial Narrow"/>
          <w:color w:val="000000"/>
        </w:rPr>
        <w:t xml:space="preserve"> súvislosť, že záujem obcí a miest o DCOM nepriamoúmerne narastá s ich veľkosťou, Na</w:t>
      </w:r>
      <w:r>
        <w:rPr>
          <w:rFonts w:ascii="Arial Narrow" w:hAnsi="Arial Narrow"/>
          <w:color w:val="000000"/>
        </w:rPr>
        <w:t>sledujúce predpoklady pripojenia obcí a miest do tohto projektu budú tento fakt zohľadňovať.</w:t>
      </w:r>
    </w:p>
    <w:p w:rsidR="00000000" w:rsidRDefault="00EB04A8">
      <w:pPr>
        <w:pStyle w:val="Normlnywebov"/>
      </w:pPr>
      <w:r>
        <w:rPr>
          <w:color w:val="000000"/>
          <w:sz w:val="27"/>
          <w:szCs w:val="27"/>
        </w:rPr>
        <w:t> </w:t>
      </w:r>
      <w:r>
        <w:rPr>
          <w:rStyle w:val="Zvraznenie"/>
          <w:rFonts w:ascii="Arial Narrow" w:hAnsi="Arial Narrow"/>
          <w:color w:val="000000"/>
        </w:rPr>
        <w:t xml:space="preserve">Obrázok 3: Počet obcí a miest podľa veľkosti rozdelené na súčasný a predpokladaný stav po migrácii do IS DCOM </w:t>
      </w:r>
    </w:p>
    <w:p w:rsidR="00000000" w:rsidRDefault="00EB04A8">
      <w:pPr>
        <w:pStyle w:val="Normlnywebov"/>
      </w:pPr>
      <w:r>
        <w:rPr>
          <w:noProof/>
          <w:color w:val="000000"/>
          <w:sz w:val="27"/>
          <w:szCs w:val="27"/>
        </w:rPr>
        <w:drawing>
          <wp:inline distT="0" distB="0" distL="0" distR="0">
            <wp:extent cx="4457700" cy="2712720"/>
            <wp:effectExtent l="0" t="0" r="0" b="0"/>
            <wp:docPr id="3" name="Obrázok 3" descr="C:\24f6a42cd9e6676f99a98d366fc664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24f6a42cd9e6676f99a98d366fc664c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457700" cy="2712720"/>
                    </a:xfrm>
                    <a:prstGeom prst="rect">
                      <a:avLst/>
                    </a:prstGeom>
                    <a:noFill/>
                    <a:ln>
                      <a:noFill/>
                    </a:ln>
                  </pic:spPr>
                </pic:pic>
              </a:graphicData>
            </a:graphic>
          </wp:inline>
        </w:drawing>
      </w:r>
    </w:p>
    <w:p w:rsidR="00000000" w:rsidRDefault="00EB04A8">
      <w:pPr>
        <w:pStyle w:val="Normlnywebov"/>
        <w:spacing w:before="130" w:beforeAutospacing="0" w:after="130" w:afterAutospacing="0"/>
      </w:pPr>
      <w:r>
        <w:rPr>
          <w:rFonts w:ascii="Arial Narrow" w:hAnsi="Arial Narrow"/>
          <w:color w:val="000000"/>
        </w:rPr>
        <w:t> Cieľom národného projektu DCOM+ je plošné rozšírenie služieb IS DCOM pre všetkých záujemcov z radov miestnej územnej samosprávy. Výsledkom realizác</w:t>
      </w:r>
      <w:r>
        <w:rPr>
          <w:rFonts w:ascii="Arial Narrow" w:hAnsi="Arial Narrow"/>
          <w:color w:val="000000"/>
        </w:rPr>
        <w:t>ie oprávnených aktivít špecifikovaných v tejto štúdii je sprístupnenie už vybudovaného a zavedeného IS DCOM, so zdieľanými cloudovými službami poskytovanými z vládneho cloudu pre všetky ostatné obce a mestá, ktoré o to prejavia záujem, a tiež dobudovanie n</w:t>
      </w:r>
      <w:r>
        <w:rPr>
          <w:rFonts w:ascii="Arial Narrow" w:hAnsi="Arial Narrow"/>
          <w:color w:val="000000"/>
        </w:rPr>
        <w:t>ových infraštruktúrnych služieb v rámci racionalizácie prevádzky vládneho cloudu a riešenia IS DCOM (zjednodušenie, zautomatizovanie a zvýšenie bezpečnosti) nielen na novo zapojené obce a mestá, ale aj pre stávajúce obce a mestá v rámci IS DCOM.</w:t>
      </w:r>
    </w:p>
    <w:p w:rsidR="00000000" w:rsidRDefault="00EB04A8">
      <w:pPr>
        <w:pStyle w:val="Normlnywebov"/>
      </w:pPr>
      <w:r>
        <w:rPr>
          <w:color w:val="000000"/>
          <w:sz w:val="27"/>
          <w:szCs w:val="27"/>
        </w:rPr>
        <w:t> </w:t>
      </w:r>
      <w:r>
        <w:rPr>
          <w:rFonts w:ascii="Arial Narrow" w:hAnsi="Arial Narrow"/>
          <w:color w:val="000000"/>
        </w:rPr>
        <w:t>Pri odhad</w:t>
      </w:r>
      <w:r>
        <w:rPr>
          <w:rFonts w:ascii="Arial Narrow" w:hAnsi="Arial Narrow"/>
          <w:color w:val="000000"/>
        </w:rPr>
        <w:t>ovaní cieľového počtu obcí predpokladáme takmer 100% účasť obcí, ktoré sú aktuálne zapojené v minimálnom režime (miniDCOM+). U ostatných obcí odhadujeme, že časť z nich bude mať záujem pripojiť sa do projektu DCOM+ a časť si bude hľadať samostatné riešenie</w:t>
      </w:r>
      <w:r>
        <w:rPr>
          <w:rFonts w:ascii="Arial Narrow" w:hAnsi="Arial Narrow"/>
          <w:color w:val="000000"/>
        </w:rPr>
        <w:t xml:space="preserve"> mimo DCOM. Tiež predpokladáme, že predovšetkým malé obce (podľa počtu obyvateľov) sa rozhodnú využiť možnosť pripojiť sa do projektu DCOM, pretože ich rozpočet im neumožňuje financovať samostatné IT pre poskytovanie elektronických služieb eGovernmentu. </w:t>
      </w:r>
    </w:p>
    <w:p w:rsidR="00000000" w:rsidRDefault="00EB04A8">
      <w:pPr>
        <w:pStyle w:val="Normlnywebov"/>
      </w:pPr>
      <w:r>
        <w:rPr>
          <w:color w:val="000000"/>
          <w:sz w:val="27"/>
          <w:szCs w:val="27"/>
        </w:rPr>
        <w:t> </w:t>
      </w:r>
      <w:r>
        <w:rPr>
          <w:rFonts w:ascii="Arial Narrow" w:hAnsi="Arial Narrow"/>
          <w:color w:val="000000"/>
        </w:rPr>
        <w:t>V súvislosti s výrazným nárastom počtu pripojených obcí projekt DCOM+ počíta aj s potrebou primeraného posilnenia výpočtovej a úložnej kapacity v dátovom centre, ktorá sa bude realizovať prostredníctvom migrácie záložnej lokality IS DCOM do vládneho cloudu</w:t>
      </w:r>
      <w:r>
        <w:rPr>
          <w:rFonts w:ascii="Arial Narrow" w:hAnsi="Arial Narrow"/>
          <w:color w:val="000000"/>
        </w:rPr>
        <w:t>.. Po vyhodnotení 1 a ½ roka prevádzky IS DCOM považujeme v rámci správy a dohladovania koncových zariadení za potrebné rozšíriť po funkčnej stránke správu a dohľad nad komponentami komunikačnej aj aplikačnej vrstvy, pre monitorovanie kľúčových parametrov,</w:t>
      </w:r>
      <w:r>
        <w:rPr>
          <w:rFonts w:ascii="Arial Narrow" w:hAnsi="Arial Narrow"/>
          <w:color w:val="000000"/>
        </w:rPr>
        <w:t xml:space="preserve"> napr. odozvy aplikácií na strane úradníka. </w:t>
      </w:r>
    </w:p>
    <w:p w:rsidR="00000000" w:rsidRDefault="00EB04A8">
      <w:pPr>
        <w:pStyle w:val="Normlnywebov"/>
      </w:pPr>
      <w:r>
        <w:rPr>
          <w:color w:val="000000"/>
          <w:sz w:val="27"/>
          <w:szCs w:val="27"/>
        </w:rPr>
        <w:t> </w:t>
      </w:r>
      <w:r>
        <w:rPr>
          <w:rFonts w:ascii="Arial Narrow" w:hAnsi="Arial Narrow"/>
          <w:color w:val="000000"/>
        </w:rPr>
        <w:t>Prínosom pripojenia ďalších obcí a miest v rámci projektu DCOM+ je zníženie lokálnej starostlivosti (na úrovni miest a obcí) o potrebné informačné technológie, pričom ich aktuálnosť, primeranosť a efektívnosť b</w:t>
      </w:r>
      <w:r>
        <w:rPr>
          <w:rFonts w:ascii="Arial Narrow" w:hAnsi="Arial Narrow"/>
          <w:color w:val="000000"/>
        </w:rPr>
        <w:t>ude garantovať DEUS. Tento prístup umožní zefektívnenie fungovania samosprávy a tým zásadnej zmeny kvality poskytovaných služieb.</w:t>
      </w:r>
    </w:p>
    <w:p w:rsidR="00000000" w:rsidRDefault="00EB04A8">
      <w:pPr>
        <w:pStyle w:val="Normlnywebov"/>
      </w:pPr>
      <w:r>
        <w:rPr>
          <w:color w:val="000000"/>
          <w:sz w:val="27"/>
          <w:szCs w:val="27"/>
        </w:rPr>
        <w:t> </w:t>
      </w:r>
      <w:r>
        <w:rPr>
          <w:rFonts w:ascii="Arial Narrow" w:hAnsi="Arial Narrow"/>
          <w:color w:val="000000"/>
        </w:rPr>
        <w:t>Tabuľka 1.3 </w:t>
      </w:r>
      <w:r>
        <w:rPr>
          <w:rFonts w:ascii="Arial Narrow" w:hAnsi="Arial Narrow"/>
          <w:color w:val="000000"/>
        </w:rPr>
        <w:t xml:space="preserve"> </w:t>
      </w:r>
      <w:r>
        <w:rPr>
          <w:rStyle w:val="inline-comment-marker"/>
          <w:rFonts w:ascii="Arial Narrow" w:hAnsi="Arial Narrow"/>
          <w:color w:val="000000"/>
        </w:rPr>
        <w:t>Potenciál pre pripojenie ďalších obcí a miest v rámci DCOM+</w:t>
      </w:r>
      <w:r>
        <w:rPr>
          <w:rStyle w:val="inline-comment-marker"/>
          <w:rFonts w:ascii="Arial Narrow" w:hAnsi="Arial Narrow"/>
          <w:color w:val="000000"/>
        </w:rPr>
        <w:t>:</w:t>
      </w:r>
      <w:r>
        <w:rPr>
          <w:color w:val="000000"/>
          <w:sz w:val="27"/>
          <w:szCs w:val="27"/>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587"/>
        <w:gridCol w:w="1085"/>
        <w:gridCol w:w="1749"/>
        <w:gridCol w:w="1692"/>
        <w:gridCol w:w="2247"/>
      </w:tblGrid>
      <w:tr w:rsidR="00000000">
        <w:trPr>
          <w:divId w:val="47192854"/>
          <w:cantSplit/>
          <w:tblCellSpacing w:w="15" w:type="dxa"/>
        </w:trPr>
        <w:tc>
          <w:tcPr>
            <w:tcW w:w="0" w:type="auto"/>
            <w:vAlign w:val="center"/>
            <w:hideMark/>
          </w:tcPr>
          <w:p w:rsidR="00000000" w:rsidRDefault="00EB04A8">
            <w:pPr>
              <w:pStyle w:val="Normlnywebov"/>
            </w:pPr>
            <w:r>
              <w:t>Potenciál pre pripojenie ďal</w:t>
            </w:r>
            <w:r>
              <w:t>ších obcí a miest:</w:t>
            </w:r>
          </w:p>
        </w:tc>
        <w:tc>
          <w:tcPr>
            <w:tcW w:w="0" w:type="auto"/>
            <w:vAlign w:val="center"/>
            <w:hideMark/>
          </w:tcPr>
          <w:p w:rsidR="00000000" w:rsidRDefault="00EB04A8">
            <w:pPr>
              <w:jc w:val="center"/>
              <w:rPr>
                <w:rFonts w:eastAsia="Times New Roman"/>
              </w:rPr>
            </w:pPr>
            <w:r>
              <w:rPr>
                <w:rFonts w:eastAsia="Times New Roman"/>
              </w:rPr>
              <w:t>Celkový počet </w:t>
            </w:r>
          </w:p>
        </w:tc>
        <w:tc>
          <w:tcPr>
            <w:tcW w:w="0" w:type="auto"/>
            <w:vAlign w:val="center"/>
            <w:hideMark/>
          </w:tcPr>
          <w:p w:rsidR="00000000" w:rsidRDefault="00EB04A8">
            <w:pPr>
              <w:pStyle w:val="Normlnywebov"/>
              <w:jc w:val="center"/>
            </w:pPr>
            <w:r>
              <w:t>Predpokladaný záujem</w:t>
            </w:r>
          </w:p>
        </w:tc>
        <w:tc>
          <w:tcPr>
            <w:tcW w:w="0" w:type="auto"/>
            <w:vAlign w:val="center"/>
            <w:hideMark/>
          </w:tcPr>
          <w:p w:rsidR="00000000" w:rsidRDefault="00EB04A8">
            <w:pPr>
              <w:pStyle w:val="Normlnywebov"/>
              <w:jc w:val="center"/>
            </w:pPr>
            <w:r>
              <w:t>Predpokladaný počet</w:t>
            </w:r>
          </w:p>
        </w:tc>
        <w:tc>
          <w:tcPr>
            <w:tcW w:w="0" w:type="auto"/>
            <w:vAlign w:val="center"/>
            <w:hideMark/>
          </w:tcPr>
          <w:p w:rsidR="00000000" w:rsidRDefault="00EB04A8">
            <w:pPr>
              <w:pStyle w:val="Normlnywebov"/>
              <w:jc w:val="center"/>
            </w:pPr>
            <w:r>
              <w:t>Predpokladaný počet obyvateľov</w:t>
            </w:r>
          </w:p>
        </w:tc>
      </w:tr>
      <w:tr w:rsidR="00000000">
        <w:trPr>
          <w:divId w:val="47192854"/>
          <w:cantSplit/>
          <w:tblCellSpacing w:w="15" w:type="dxa"/>
        </w:trPr>
        <w:tc>
          <w:tcPr>
            <w:tcW w:w="0" w:type="auto"/>
            <w:vAlign w:val="center"/>
            <w:hideMark/>
          </w:tcPr>
          <w:p w:rsidR="00000000" w:rsidRDefault="00EB04A8">
            <w:pPr>
              <w:pStyle w:val="Normlnywebov"/>
            </w:pPr>
            <w:r>
              <w:t>Obce a mestá aktuálne zapojené v miniDCOM+</w:t>
            </w:r>
          </w:p>
        </w:tc>
        <w:tc>
          <w:tcPr>
            <w:tcW w:w="0" w:type="auto"/>
            <w:vAlign w:val="center"/>
            <w:hideMark/>
          </w:tcPr>
          <w:p w:rsidR="00000000" w:rsidRDefault="00EB04A8">
            <w:pPr>
              <w:jc w:val="center"/>
              <w:rPr>
                <w:rFonts w:eastAsia="Times New Roman"/>
              </w:rPr>
            </w:pPr>
            <w:r>
              <w:rPr>
                <w:rFonts w:eastAsia="Times New Roman"/>
              </w:rPr>
              <w:t>624</w:t>
            </w:r>
          </w:p>
        </w:tc>
        <w:tc>
          <w:tcPr>
            <w:tcW w:w="0" w:type="auto"/>
            <w:vAlign w:val="center"/>
            <w:hideMark/>
          </w:tcPr>
          <w:p w:rsidR="00000000" w:rsidRDefault="00EB04A8">
            <w:pPr>
              <w:pStyle w:val="Normlnywebov"/>
              <w:jc w:val="center"/>
            </w:pPr>
            <w:r>
              <w:t>100%</w:t>
            </w:r>
          </w:p>
        </w:tc>
        <w:tc>
          <w:tcPr>
            <w:tcW w:w="0" w:type="auto"/>
            <w:vAlign w:val="center"/>
            <w:hideMark/>
          </w:tcPr>
          <w:p w:rsidR="00000000" w:rsidRDefault="00EB04A8">
            <w:pPr>
              <w:pStyle w:val="Normlnywebov"/>
              <w:jc w:val="center"/>
            </w:pPr>
            <w:r>
              <w:t>624</w:t>
            </w:r>
          </w:p>
        </w:tc>
        <w:tc>
          <w:tcPr>
            <w:tcW w:w="0" w:type="auto"/>
            <w:vAlign w:val="center"/>
            <w:hideMark/>
          </w:tcPr>
          <w:p w:rsidR="00000000" w:rsidRDefault="00EB04A8">
            <w:pPr>
              <w:pStyle w:val="Normlnywebov"/>
              <w:jc w:val="center"/>
            </w:pPr>
            <w:r>
              <w:t>814 442</w:t>
            </w:r>
          </w:p>
        </w:tc>
      </w:tr>
      <w:tr w:rsidR="00000000">
        <w:trPr>
          <w:divId w:val="47192854"/>
          <w:cantSplit/>
          <w:tblCellSpacing w:w="15" w:type="dxa"/>
        </w:trPr>
        <w:tc>
          <w:tcPr>
            <w:tcW w:w="0" w:type="auto"/>
            <w:vAlign w:val="center"/>
            <w:hideMark/>
          </w:tcPr>
          <w:p w:rsidR="00000000" w:rsidRDefault="00EB04A8">
            <w:pPr>
              <w:pStyle w:val="Normlnywebov"/>
            </w:pPr>
            <w:r>
              <w:t>Obce a mestá nezapojené do IS DCOM</w:t>
            </w:r>
          </w:p>
        </w:tc>
        <w:tc>
          <w:tcPr>
            <w:tcW w:w="0" w:type="auto"/>
            <w:vAlign w:val="center"/>
            <w:hideMark/>
          </w:tcPr>
          <w:p w:rsidR="00000000" w:rsidRDefault="00EB04A8">
            <w:pPr>
              <w:jc w:val="center"/>
              <w:rPr>
                <w:rFonts w:eastAsia="Times New Roman"/>
              </w:rPr>
            </w:pPr>
            <w:r>
              <w:rPr>
                <w:rFonts w:eastAsia="Times New Roman"/>
              </w:rPr>
              <w:t>707 </w:t>
            </w:r>
          </w:p>
        </w:tc>
        <w:tc>
          <w:tcPr>
            <w:tcW w:w="0" w:type="auto"/>
            <w:vAlign w:val="center"/>
            <w:hideMark/>
          </w:tcPr>
          <w:p w:rsidR="00000000" w:rsidRDefault="00EB04A8">
            <w:pPr>
              <w:pStyle w:val="Normlnywebov"/>
              <w:jc w:val="center"/>
            </w:pPr>
            <w:r>
              <w:t>60%</w:t>
            </w:r>
          </w:p>
        </w:tc>
        <w:tc>
          <w:tcPr>
            <w:tcW w:w="0" w:type="auto"/>
            <w:vAlign w:val="center"/>
            <w:hideMark/>
          </w:tcPr>
          <w:p w:rsidR="00000000" w:rsidRDefault="00EB04A8">
            <w:pPr>
              <w:pStyle w:val="Normlnywebov"/>
              <w:jc w:val="center"/>
            </w:pPr>
            <w:r>
              <w:t>449</w:t>
            </w:r>
          </w:p>
        </w:tc>
        <w:tc>
          <w:tcPr>
            <w:tcW w:w="0" w:type="auto"/>
            <w:vAlign w:val="center"/>
            <w:hideMark/>
          </w:tcPr>
          <w:p w:rsidR="00000000" w:rsidRDefault="00EB04A8">
            <w:pPr>
              <w:pStyle w:val="Normlnywebov"/>
              <w:jc w:val="center"/>
            </w:pPr>
            <w:r>
              <w:t>446 984</w:t>
            </w:r>
          </w:p>
        </w:tc>
      </w:tr>
      <w:tr w:rsidR="00000000">
        <w:trPr>
          <w:divId w:val="47192854"/>
          <w:cantSplit/>
          <w:tblCellSpacing w:w="15" w:type="dxa"/>
        </w:trPr>
        <w:tc>
          <w:tcPr>
            <w:tcW w:w="0" w:type="auto"/>
            <w:vAlign w:val="center"/>
            <w:hideMark/>
          </w:tcPr>
          <w:p w:rsidR="00000000" w:rsidRDefault="00EB04A8">
            <w:pPr>
              <w:pStyle w:val="Normlnywebov"/>
            </w:pPr>
            <w:r>
              <w:t>SOcÚ nezapojené do IS DCOM</w:t>
            </w:r>
          </w:p>
        </w:tc>
        <w:tc>
          <w:tcPr>
            <w:tcW w:w="0" w:type="auto"/>
            <w:vAlign w:val="center"/>
            <w:hideMark/>
          </w:tcPr>
          <w:p w:rsidR="00000000" w:rsidRDefault="00EB04A8">
            <w:pPr>
              <w:jc w:val="center"/>
              <w:rPr>
                <w:rFonts w:eastAsia="Times New Roman"/>
              </w:rPr>
            </w:pPr>
            <w:r>
              <w:rPr>
                <w:rFonts w:eastAsia="Times New Roman"/>
              </w:rPr>
              <w:t>182 </w:t>
            </w:r>
          </w:p>
        </w:tc>
        <w:tc>
          <w:tcPr>
            <w:tcW w:w="0" w:type="auto"/>
            <w:vAlign w:val="center"/>
            <w:hideMark/>
          </w:tcPr>
          <w:p w:rsidR="00000000" w:rsidRDefault="00EB04A8">
            <w:pPr>
              <w:pStyle w:val="Normlnywebov"/>
              <w:jc w:val="center"/>
            </w:pPr>
            <w:r>
              <w:t>60%</w:t>
            </w:r>
          </w:p>
        </w:tc>
        <w:tc>
          <w:tcPr>
            <w:tcW w:w="0" w:type="auto"/>
            <w:vAlign w:val="center"/>
            <w:hideMark/>
          </w:tcPr>
          <w:p w:rsidR="00000000" w:rsidRDefault="00EB04A8">
            <w:pPr>
              <w:pStyle w:val="Normlnywebov"/>
              <w:jc w:val="center"/>
            </w:pPr>
            <w:r>
              <w:t>110</w:t>
            </w:r>
          </w:p>
        </w:tc>
        <w:tc>
          <w:tcPr>
            <w:tcW w:w="0" w:type="auto"/>
            <w:vAlign w:val="center"/>
            <w:hideMark/>
          </w:tcPr>
          <w:p w:rsidR="00000000" w:rsidRDefault="00EB04A8">
            <w:pPr>
              <w:pStyle w:val="Normlnywebov"/>
              <w:jc w:val="center"/>
            </w:pPr>
            <w:r>
              <w:t>-</w:t>
            </w:r>
          </w:p>
        </w:tc>
      </w:tr>
      <w:tr w:rsidR="00000000">
        <w:trPr>
          <w:divId w:val="47192854"/>
          <w:cantSplit/>
          <w:tblCellSpacing w:w="15" w:type="dxa"/>
        </w:trPr>
        <w:tc>
          <w:tcPr>
            <w:tcW w:w="0" w:type="auto"/>
            <w:vAlign w:val="center"/>
            <w:hideMark/>
          </w:tcPr>
          <w:p w:rsidR="00000000" w:rsidRDefault="00EB04A8">
            <w:pPr>
              <w:pStyle w:val="Normlnywebov"/>
            </w:pPr>
            <w:r>
              <w:t>Spolu</w:t>
            </w:r>
          </w:p>
        </w:tc>
        <w:tc>
          <w:tcPr>
            <w:tcW w:w="0" w:type="auto"/>
            <w:vAlign w:val="center"/>
            <w:hideMark/>
          </w:tcPr>
          <w:p w:rsidR="00000000" w:rsidRDefault="00EB04A8">
            <w:pPr>
              <w:jc w:val="center"/>
              <w:rPr>
                <w:rFonts w:eastAsia="Times New Roman"/>
              </w:rPr>
            </w:pPr>
            <w:r>
              <w:rPr>
                <w:rFonts w:eastAsia="Times New Roman"/>
              </w:rPr>
              <w:t> </w:t>
            </w:r>
          </w:p>
        </w:tc>
        <w:tc>
          <w:tcPr>
            <w:tcW w:w="0" w:type="auto"/>
            <w:vAlign w:val="center"/>
            <w:hideMark/>
          </w:tcPr>
          <w:p w:rsidR="00000000" w:rsidRDefault="00EB04A8">
            <w:pPr>
              <w:pStyle w:val="Normlnywebov"/>
              <w:jc w:val="center"/>
            </w:pPr>
            <w:r>
              <w:t>-</w:t>
            </w:r>
          </w:p>
        </w:tc>
        <w:tc>
          <w:tcPr>
            <w:tcW w:w="0" w:type="auto"/>
            <w:vAlign w:val="center"/>
            <w:hideMark/>
          </w:tcPr>
          <w:p w:rsidR="00000000" w:rsidRDefault="00EB04A8">
            <w:pPr>
              <w:pStyle w:val="Normlnywebov"/>
              <w:jc w:val="center"/>
            </w:pPr>
            <w:r>
              <w:t>1 183</w:t>
            </w:r>
          </w:p>
        </w:tc>
        <w:tc>
          <w:tcPr>
            <w:tcW w:w="0" w:type="auto"/>
            <w:vAlign w:val="center"/>
            <w:hideMark/>
          </w:tcPr>
          <w:p w:rsidR="00000000" w:rsidRDefault="00EB04A8">
            <w:pPr>
              <w:pStyle w:val="Normlnywebov"/>
              <w:jc w:val="center"/>
            </w:pPr>
            <w:r>
              <w:t>1 261 426</w:t>
            </w:r>
          </w:p>
        </w:tc>
      </w:tr>
    </w:tbl>
    <w:p w:rsidR="00000000" w:rsidRDefault="00EB04A8">
      <w:pPr>
        <w:pStyle w:val="Normlnywebov"/>
      </w:pPr>
      <w:r>
        <w:rPr>
          <w:color w:val="000000"/>
          <w:sz w:val="27"/>
          <w:szCs w:val="27"/>
        </w:rPr>
        <w:t> </w:t>
      </w:r>
      <w:r>
        <w:rPr>
          <w:rFonts w:ascii="Arial Narrow" w:hAnsi="Arial Narrow"/>
          <w:color w:val="000000"/>
        </w:rPr>
        <w:t> Ďalším čiastkovým cieľom národného projektu DCOM+ je posilnenie komunikačnej infraštruktúry pre výkon prenesených kompetencií štátu na MÚS. IS DCOM  už teraz disponuje funkčnosťou pre poskytovanie týchto kompete</w:t>
      </w:r>
      <w:r>
        <w:rPr>
          <w:rFonts w:ascii="Arial Narrow" w:hAnsi="Arial Narrow"/>
          <w:color w:val="000000"/>
        </w:rPr>
        <w:t>ncií klientom MÚS prostredníctvom SOcÚ. Aktuálne je pripojených 52 SOcÚ. Potenciál pripojenia je pre ďalších celkovo 110 SOcÚ.</w:t>
      </w:r>
    </w:p>
    <w:p w:rsidR="00000000" w:rsidRDefault="00EB04A8">
      <w:pPr>
        <w:pStyle w:val="Nadpis2"/>
        <w:rPr>
          <w:rFonts w:eastAsia="Times New Roman"/>
        </w:rPr>
      </w:pPr>
      <w:r>
        <w:rPr>
          <w:rFonts w:eastAsia="Times New Roman"/>
          <w:color w:val="000000"/>
          <w:sz w:val="27"/>
          <w:szCs w:val="27"/>
        </w:rPr>
        <w:t> </w:t>
      </w:r>
      <w:r>
        <w:rPr>
          <w:rFonts w:eastAsia="Times New Roman"/>
        </w:rPr>
        <w:t xml:space="preserve"> </w:t>
      </w:r>
    </w:p>
    <w:p w:rsidR="00000000" w:rsidRDefault="00EB04A8">
      <w:pPr>
        <w:pStyle w:val="Nadpis2"/>
        <w:rPr>
          <w:rFonts w:eastAsia="Times New Roman"/>
        </w:rPr>
      </w:pPr>
      <w:r>
        <w:rPr>
          <w:rFonts w:eastAsia="Times New Roman"/>
        </w:rPr>
        <w:t>1.4. Použité skratky a značky</w:t>
      </w:r>
    </w:p>
    <w:p w:rsidR="00000000" w:rsidRDefault="00EB04A8">
      <w:pPr>
        <w:pStyle w:val="Normlnywebov"/>
      </w:pPr>
      <w:r>
        <w:rPr>
          <w:rStyle w:val="Zvraznenie"/>
        </w:rPr>
        <w:t>Tabuľka 2</w:t>
      </w:r>
      <w:r>
        <w:t xml:space="preserve"> </w:t>
      </w:r>
      <w:r>
        <w:rPr>
          <w:rStyle w:val="Zvraznenie"/>
        </w:rPr>
        <w:t>Skratky a značky</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1501"/>
        <w:gridCol w:w="7859"/>
      </w:tblGrid>
      <w:tr w:rsidR="00000000">
        <w:trPr>
          <w:divId w:val="1308390788"/>
          <w:cantSplit/>
          <w:tblCellSpacing w:w="15" w:type="dxa"/>
        </w:trPr>
        <w:tc>
          <w:tcPr>
            <w:tcW w:w="0" w:type="auto"/>
            <w:vAlign w:val="center"/>
            <w:hideMark/>
          </w:tcPr>
          <w:p w:rsidR="00000000" w:rsidRDefault="00EB04A8">
            <w:pPr>
              <w:pStyle w:val="Normlnywebov"/>
            </w:pPr>
            <w:r>
              <w:rPr>
                <w:rStyle w:val="Siln"/>
              </w:rPr>
              <w:t>Skratka / Značka</w:t>
            </w:r>
          </w:p>
        </w:tc>
        <w:tc>
          <w:tcPr>
            <w:tcW w:w="0" w:type="auto"/>
            <w:vAlign w:val="center"/>
            <w:hideMark/>
          </w:tcPr>
          <w:p w:rsidR="00000000" w:rsidRDefault="00EB04A8">
            <w:pPr>
              <w:pStyle w:val="Normlnywebov"/>
            </w:pPr>
            <w:r>
              <w:rPr>
                <w:rStyle w:val="Siln"/>
              </w:rPr>
              <w:t>Vysvetlenie</w:t>
            </w:r>
          </w:p>
        </w:tc>
      </w:tr>
      <w:tr w:rsidR="00000000">
        <w:trPr>
          <w:divId w:val="1308390788"/>
          <w:cantSplit/>
          <w:tblCellSpacing w:w="15" w:type="dxa"/>
        </w:trPr>
        <w:tc>
          <w:tcPr>
            <w:tcW w:w="0" w:type="auto"/>
            <w:vAlign w:val="center"/>
            <w:hideMark/>
          </w:tcPr>
          <w:p w:rsidR="00000000" w:rsidRDefault="00EB04A8">
            <w:pPr>
              <w:pStyle w:val="Normlnywebov"/>
            </w:pPr>
            <w:r>
              <w:t>APV</w:t>
            </w:r>
          </w:p>
        </w:tc>
        <w:tc>
          <w:tcPr>
            <w:tcW w:w="0" w:type="auto"/>
            <w:vAlign w:val="center"/>
            <w:hideMark/>
          </w:tcPr>
          <w:p w:rsidR="00000000" w:rsidRDefault="00EB04A8">
            <w:pPr>
              <w:pStyle w:val="Normlnywebov"/>
            </w:pPr>
            <w:r>
              <w:t>Aplikačno-programové vybavenie</w:t>
            </w:r>
          </w:p>
        </w:tc>
      </w:tr>
      <w:tr w:rsidR="00000000">
        <w:trPr>
          <w:divId w:val="1308390788"/>
          <w:cantSplit/>
          <w:tblCellSpacing w:w="15" w:type="dxa"/>
        </w:trPr>
        <w:tc>
          <w:tcPr>
            <w:tcW w:w="0" w:type="auto"/>
            <w:vAlign w:val="center"/>
            <w:hideMark/>
          </w:tcPr>
          <w:p w:rsidR="00000000" w:rsidRDefault="00EB04A8">
            <w:pPr>
              <w:pStyle w:val="Normlnywebov"/>
            </w:pPr>
            <w:r>
              <w:t>Best Practice</w:t>
            </w:r>
          </w:p>
        </w:tc>
        <w:tc>
          <w:tcPr>
            <w:tcW w:w="0" w:type="auto"/>
            <w:vAlign w:val="center"/>
            <w:hideMark/>
          </w:tcPr>
          <w:p w:rsidR="00000000" w:rsidRDefault="00EB04A8">
            <w:pPr>
              <w:pStyle w:val="Normlnywebov"/>
            </w:pPr>
            <w:r>
              <w:t>Najlepšia prax, osvedčená prax,   pojem pre osvedčené postupy, procesy či osvedčené metódy riadenia, pomocou   ktorých sa vo viacerých organizáciách dosiahli dobré výsledky a používajú sa   preto ako odporúčania pre ostatné.</w:t>
            </w:r>
          </w:p>
        </w:tc>
      </w:tr>
      <w:tr w:rsidR="00000000">
        <w:trPr>
          <w:divId w:val="1308390788"/>
          <w:cantSplit/>
          <w:tblCellSpacing w:w="15" w:type="dxa"/>
        </w:trPr>
        <w:tc>
          <w:tcPr>
            <w:tcW w:w="0" w:type="auto"/>
            <w:vAlign w:val="center"/>
            <w:hideMark/>
          </w:tcPr>
          <w:p w:rsidR="00000000" w:rsidRDefault="00EB04A8">
            <w:pPr>
              <w:pStyle w:val="Normlnywebov"/>
            </w:pPr>
            <w:r>
              <w:t>DataCentrum</w:t>
            </w:r>
          </w:p>
        </w:tc>
        <w:tc>
          <w:tcPr>
            <w:tcW w:w="0" w:type="auto"/>
            <w:vAlign w:val="center"/>
            <w:hideMark/>
          </w:tcPr>
          <w:p w:rsidR="00000000" w:rsidRDefault="00EB04A8">
            <w:pPr>
              <w:pStyle w:val="Normlnywebov"/>
            </w:pPr>
            <w:r>
              <w:t>Samo</w:t>
            </w:r>
            <w:r>
              <w:t>statná rozpočtová   organizácia, ktorej zriaďovateľom je Ministerstvo financií SR, ktorá plní   funkciu informačného centra pre rezort Ministerstva financií SR (ďalej len   "MF SR").</w:t>
            </w:r>
          </w:p>
        </w:tc>
      </w:tr>
      <w:tr w:rsidR="00000000">
        <w:trPr>
          <w:divId w:val="1308390788"/>
          <w:cantSplit/>
          <w:tblCellSpacing w:w="15" w:type="dxa"/>
        </w:trPr>
        <w:tc>
          <w:tcPr>
            <w:tcW w:w="0" w:type="auto"/>
            <w:vAlign w:val="center"/>
            <w:hideMark/>
          </w:tcPr>
          <w:p w:rsidR="00000000" w:rsidRDefault="00EB04A8">
            <w:pPr>
              <w:pStyle w:val="Normlnywebov"/>
            </w:pPr>
            <w:r>
              <w:t>DC</w:t>
            </w:r>
          </w:p>
        </w:tc>
        <w:tc>
          <w:tcPr>
            <w:tcW w:w="0" w:type="auto"/>
            <w:vAlign w:val="center"/>
            <w:hideMark/>
          </w:tcPr>
          <w:p w:rsidR="00000000" w:rsidRDefault="00EB04A8">
            <w:pPr>
              <w:pStyle w:val="Normlnywebov"/>
            </w:pPr>
            <w:r>
              <w:t>Dátové centrum</w:t>
            </w:r>
          </w:p>
        </w:tc>
      </w:tr>
      <w:tr w:rsidR="00000000">
        <w:trPr>
          <w:divId w:val="1308390788"/>
          <w:cantSplit/>
          <w:tblCellSpacing w:w="15" w:type="dxa"/>
        </w:trPr>
        <w:tc>
          <w:tcPr>
            <w:tcW w:w="0" w:type="auto"/>
            <w:vAlign w:val="center"/>
            <w:hideMark/>
          </w:tcPr>
          <w:p w:rsidR="00000000" w:rsidRDefault="00EB04A8">
            <w:pPr>
              <w:pStyle w:val="Normlnywebov"/>
            </w:pPr>
            <w:r>
              <w:t>DCOM</w:t>
            </w:r>
          </w:p>
        </w:tc>
        <w:tc>
          <w:tcPr>
            <w:tcW w:w="0" w:type="auto"/>
            <w:vAlign w:val="center"/>
            <w:hideMark/>
          </w:tcPr>
          <w:p w:rsidR="00000000" w:rsidRDefault="00EB04A8">
            <w:pPr>
              <w:pStyle w:val="Normlnywebov"/>
            </w:pPr>
            <w:r>
              <w:t>Dátové centrum obcí a miest   – označenie pre cl</w:t>
            </w:r>
            <w:r>
              <w:t>oud platformu samosprávy</w:t>
            </w:r>
          </w:p>
        </w:tc>
      </w:tr>
      <w:tr w:rsidR="00000000">
        <w:trPr>
          <w:divId w:val="1308390788"/>
          <w:cantSplit/>
          <w:tblCellSpacing w:w="15" w:type="dxa"/>
        </w:trPr>
        <w:tc>
          <w:tcPr>
            <w:tcW w:w="0" w:type="auto"/>
            <w:vAlign w:val="center"/>
            <w:hideMark/>
          </w:tcPr>
          <w:p w:rsidR="00000000" w:rsidRDefault="00EB04A8">
            <w:pPr>
              <w:pStyle w:val="Normlnywebov"/>
            </w:pPr>
            <w:r>
              <w:t>DCOM+</w:t>
            </w:r>
          </w:p>
        </w:tc>
        <w:tc>
          <w:tcPr>
            <w:tcW w:w="0" w:type="auto"/>
            <w:vAlign w:val="center"/>
            <w:hideMark/>
          </w:tcPr>
          <w:p w:rsidR="00000000" w:rsidRDefault="00EB04A8">
            <w:pPr>
              <w:pStyle w:val="Normlnywebov"/>
            </w:pPr>
            <w:r>
              <w:t>Národný projekt „Migrácia   IS obcí do vládneho cloudu – plošné rozšírenie IS DCOM – 2. etapa““</w:t>
            </w:r>
          </w:p>
        </w:tc>
      </w:tr>
      <w:tr w:rsidR="00000000">
        <w:trPr>
          <w:divId w:val="1308390788"/>
          <w:cantSplit/>
          <w:tblCellSpacing w:w="15" w:type="dxa"/>
        </w:trPr>
        <w:tc>
          <w:tcPr>
            <w:tcW w:w="0" w:type="auto"/>
            <w:vAlign w:val="center"/>
            <w:hideMark/>
          </w:tcPr>
          <w:p w:rsidR="00000000" w:rsidRDefault="00EB04A8">
            <w:pPr>
              <w:pStyle w:val="Normlnywebov"/>
            </w:pPr>
            <w:r>
              <w:t>miniDCOM+</w:t>
            </w:r>
          </w:p>
        </w:tc>
        <w:tc>
          <w:tcPr>
            <w:tcW w:w="0" w:type="auto"/>
            <w:vAlign w:val="center"/>
            <w:hideMark/>
          </w:tcPr>
          <w:p w:rsidR="00000000" w:rsidRDefault="00EB04A8">
            <w:pPr>
              <w:pStyle w:val="Normlnywebov"/>
            </w:pPr>
            <w:r>
              <w:t>Služba, ktorá   poskytuje obciam a mestám minimálny set elektronických služieb,   potrebných na plnenie požiadaviek z</w:t>
            </w:r>
            <w:r>
              <w:t>ákona o eGovernmente</w:t>
            </w:r>
          </w:p>
        </w:tc>
      </w:tr>
      <w:tr w:rsidR="00000000">
        <w:trPr>
          <w:divId w:val="1308390788"/>
          <w:cantSplit/>
          <w:tblCellSpacing w:w="15" w:type="dxa"/>
        </w:trPr>
        <w:tc>
          <w:tcPr>
            <w:tcW w:w="0" w:type="auto"/>
            <w:vAlign w:val="center"/>
            <w:hideMark/>
          </w:tcPr>
          <w:p w:rsidR="00000000" w:rsidRDefault="00EB04A8">
            <w:pPr>
              <w:pStyle w:val="Normlnywebov"/>
            </w:pPr>
            <w:r>
              <w:t>DEUS</w:t>
            </w:r>
          </w:p>
        </w:tc>
        <w:tc>
          <w:tcPr>
            <w:tcW w:w="0" w:type="auto"/>
            <w:vAlign w:val="center"/>
            <w:hideMark/>
          </w:tcPr>
          <w:p w:rsidR="00000000" w:rsidRDefault="00EB04A8">
            <w:pPr>
              <w:pStyle w:val="Normlnywebov"/>
            </w:pPr>
            <w:r>
              <w:t>DataCentrum elektronizácie   územnej samosprávy Slovenska (DEUS) - združenie ZMOS a MF SR</w:t>
            </w:r>
          </w:p>
        </w:tc>
      </w:tr>
      <w:tr w:rsidR="00000000">
        <w:trPr>
          <w:divId w:val="1308390788"/>
          <w:cantSplit/>
          <w:tblCellSpacing w:w="15" w:type="dxa"/>
        </w:trPr>
        <w:tc>
          <w:tcPr>
            <w:tcW w:w="0" w:type="auto"/>
            <w:vAlign w:val="center"/>
            <w:hideMark/>
          </w:tcPr>
          <w:p w:rsidR="00000000" w:rsidRDefault="00EB04A8">
            <w:pPr>
              <w:pStyle w:val="Normlnywebov"/>
            </w:pPr>
            <w:r>
              <w:t>ENPV</w:t>
            </w:r>
          </w:p>
        </w:tc>
        <w:tc>
          <w:tcPr>
            <w:tcW w:w="0" w:type="auto"/>
            <w:vAlign w:val="center"/>
            <w:hideMark/>
          </w:tcPr>
          <w:p w:rsidR="00000000" w:rsidRDefault="00EB04A8">
            <w:pPr>
              <w:pStyle w:val="Normlnywebov"/>
            </w:pPr>
            <w:r>
              <w:t>Čistá súčasná ekonomická hodnota</w:t>
            </w:r>
          </w:p>
        </w:tc>
      </w:tr>
      <w:tr w:rsidR="00000000">
        <w:trPr>
          <w:divId w:val="1308390788"/>
          <w:cantSplit/>
          <w:tblCellSpacing w:w="15" w:type="dxa"/>
        </w:trPr>
        <w:tc>
          <w:tcPr>
            <w:tcW w:w="0" w:type="auto"/>
            <w:vAlign w:val="center"/>
            <w:hideMark/>
          </w:tcPr>
          <w:p w:rsidR="00000000" w:rsidRDefault="00EB04A8">
            <w:pPr>
              <w:pStyle w:val="Normlnywebov"/>
            </w:pPr>
            <w:r>
              <w:t>eSlužba</w:t>
            </w:r>
          </w:p>
        </w:tc>
        <w:tc>
          <w:tcPr>
            <w:tcW w:w="0" w:type="auto"/>
            <w:vAlign w:val="center"/>
            <w:hideMark/>
          </w:tcPr>
          <w:p w:rsidR="00000000" w:rsidRDefault="00EB04A8">
            <w:pPr>
              <w:pStyle w:val="Normlnywebov"/>
            </w:pPr>
            <w:r>
              <w:t>Elektronická služba určená pre   verejnosť (občan, podnikateľ)</w:t>
            </w:r>
          </w:p>
        </w:tc>
      </w:tr>
      <w:tr w:rsidR="00000000">
        <w:trPr>
          <w:divId w:val="1308390788"/>
          <w:cantSplit/>
          <w:tblCellSpacing w:w="15" w:type="dxa"/>
        </w:trPr>
        <w:tc>
          <w:tcPr>
            <w:tcW w:w="0" w:type="auto"/>
            <w:vAlign w:val="center"/>
            <w:hideMark/>
          </w:tcPr>
          <w:p w:rsidR="00000000" w:rsidRDefault="00EB04A8">
            <w:pPr>
              <w:pStyle w:val="Normlnywebov"/>
            </w:pPr>
            <w:r>
              <w:t>IaaS</w:t>
            </w:r>
          </w:p>
        </w:tc>
        <w:tc>
          <w:tcPr>
            <w:tcW w:w="0" w:type="auto"/>
            <w:vAlign w:val="center"/>
            <w:hideMark/>
          </w:tcPr>
          <w:p w:rsidR="00000000" w:rsidRDefault="00EB04A8">
            <w:pPr>
              <w:pStyle w:val="Normlnywebov"/>
            </w:pPr>
            <w:r>
              <w:t>Infrastructure as a </w:t>
            </w:r>
            <w:r>
              <w:t>Service</w:t>
            </w:r>
          </w:p>
        </w:tc>
      </w:tr>
      <w:tr w:rsidR="00000000">
        <w:trPr>
          <w:divId w:val="1308390788"/>
          <w:cantSplit/>
          <w:tblCellSpacing w:w="15" w:type="dxa"/>
        </w:trPr>
        <w:tc>
          <w:tcPr>
            <w:tcW w:w="0" w:type="auto"/>
            <w:vAlign w:val="center"/>
            <w:hideMark/>
          </w:tcPr>
          <w:p w:rsidR="00000000" w:rsidRDefault="00EB04A8">
            <w:pPr>
              <w:pStyle w:val="Normlnywebov"/>
            </w:pPr>
            <w:r>
              <w:t>IS DCOM</w:t>
            </w:r>
          </w:p>
        </w:tc>
        <w:tc>
          <w:tcPr>
            <w:tcW w:w="0" w:type="auto"/>
            <w:vAlign w:val="center"/>
            <w:hideMark/>
          </w:tcPr>
          <w:p w:rsidR="00000000" w:rsidRDefault="00EB04A8">
            <w:pPr>
              <w:pStyle w:val="Normlnywebov"/>
            </w:pPr>
            <w:r>
              <w:t>Informačný systém DCOM –   označenie pre súbor modulov podporujúcich poskytovanie služieb samosprávy   verejnosti.</w:t>
            </w:r>
          </w:p>
        </w:tc>
      </w:tr>
      <w:tr w:rsidR="00000000">
        <w:trPr>
          <w:divId w:val="1308390788"/>
          <w:cantSplit/>
          <w:tblCellSpacing w:w="15" w:type="dxa"/>
        </w:trPr>
        <w:tc>
          <w:tcPr>
            <w:tcW w:w="0" w:type="auto"/>
            <w:vAlign w:val="center"/>
            <w:hideMark/>
          </w:tcPr>
          <w:p w:rsidR="00000000" w:rsidRDefault="00EB04A8">
            <w:pPr>
              <w:pStyle w:val="Normlnywebov"/>
            </w:pPr>
            <w:r>
              <w:t>ISO</w:t>
            </w:r>
          </w:p>
        </w:tc>
        <w:tc>
          <w:tcPr>
            <w:tcW w:w="0" w:type="auto"/>
            <w:vAlign w:val="center"/>
            <w:hideMark/>
          </w:tcPr>
          <w:p w:rsidR="00000000" w:rsidRDefault="00EB04A8">
            <w:pPr>
              <w:pStyle w:val="Normlnywebov"/>
            </w:pPr>
            <w:r>
              <w:t>Informačný systém obce</w:t>
            </w:r>
          </w:p>
        </w:tc>
      </w:tr>
      <w:tr w:rsidR="00000000">
        <w:trPr>
          <w:divId w:val="1308390788"/>
          <w:cantSplit/>
          <w:tblCellSpacing w:w="15" w:type="dxa"/>
        </w:trPr>
        <w:tc>
          <w:tcPr>
            <w:tcW w:w="0" w:type="auto"/>
            <w:vAlign w:val="center"/>
            <w:hideMark/>
          </w:tcPr>
          <w:p w:rsidR="00000000" w:rsidRDefault="00EB04A8">
            <w:pPr>
              <w:pStyle w:val="Normlnywebov"/>
            </w:pPr>
            <w:r>
              <w:t>ISVS</w:t>
            </w:r>
          </w:p>
        </w:tc>
        <w:tc>
          <w:tcPr>
            <w:tcW w:w="0" w:type="auto"/>
            <w:vAlign w:val="center"/>
            <w:hideMark/>
          </w:tcPr>
          <w:p w:rsidR="00000000" w:rsidRDefault="00EB04A8">
            <w:pPr>
              <w:pStyle w:val="Normlnywebov"/>
            </w:pPr>
            <w:r>
              <w:t>Informačný systém verejnej správy</w:t>
            </w:r>
          </w:p>
        </w:tc>
      </w:tr>
      <w:tr w:rsidR="00000000">
        <w:trPr>
          <w:divId w:val="1308390788"/>
          <w:cantSplit/>
          <w:tblCellSpacing w:w="15" w:type="dxa"/>
        </w:trPr>
        <w:tc>
          <w:tcPr>
            <w:tcW w:w="0" w:type="auto"/>
            <w:vAlign w:val="center"/>
            <w:hideMark/>
          </w:tcPr>
          <w:p w:rsidR="00000000" w:rsidRDefault="00EB04A8">
            <w:pPr>
              <w:pStyle w:val="Normlnywebov"/>
            </w:pPr>
            <w:r>
              <w:t>IVS</w:t>
            </w:r>
          </w:p>
        </w:tc>
        <w:tc>
          <w:tcPr>
            <w:tcW w:w="0" w:type="auto"/>
            <w:vAlign w:val="center"/>
            <w:hideMark/>
          </w:tcPr>
          <w:p w:rsidR="00000000" w:rsidRDefault="00EB04A8">
            <w:pPr>
              <w:pStyle w:val="Normlnywebov"/>
            </w:pPr>
            <w:r>
              <w:t>Inštitúcia verejnej správy SR</w:t>
            </w:r>
          </w:p>
        </w:tc>
      </w:tr>
      <w:tr w:rsidR="00000000">
        <w:trPr>
          <w:divId w:val="1308390788"/>
          <w:cantSplit/>
          <w:tblCellSpacing w:w="15" w:type="dxa"/>
        </w:trPr>
        <w:tc>
          <w:tcPr>
            <w:tcW w:w="0" w:type="auto"/>
            <w:vAlign w:val="center"/>
            <w:hideMark/>
          </w:tcPr>
          <w:p w:rsidR="00000000" w:rsidRDefault="00EB04A8">
            <w:pPr>
              <w:pStyle w:val="Normlnywebov"/>
            </w:pPr>
            <w:r>
              <w:t>OVM</w:t>
            </w:r>
          </w:p>
        </w:tc>
        <w:tc>
          <w:tcPr>
            <w:tcW w:w="0" w:type="auto"/>
            <w:vAlign w:val="center"/>
            <w:hideMark/>
          </w:tcPr>
          <w:p w:rsidR="00000000" w:rsidRDefault="00EB04A8">
            <w:pPr>
              <w:pStyle w:val="Normlnywebov"/>
            </w:pPr>
            <w:r>
              <w:t>Orgán verejnej m</w:t>
            </w:r>
            <w:r>
              <w:t>oci</w:t>
            </w:r>
          </w:p>
        </w:tc>
      </w:tr>
      <w:tr w:rsidR="00000000">
        <w:trPr>
          <w:divId w:val="1308390788"/>
          <w:cantSplit/>
          <w:tblCellSpacing w:w="15" w:type="dxa"/>
        </w:trPr>
        <w:tc>
          <w:tcPr>
            <w:tcW w:w="0" w:type="auto"/>
            <w:vAlign w:val="center"/>
            <w:hideMark/>
          </w:tcPr>
          <w:p w:rsidR="00000000" w:rsidRDefault="00EB04A8">
            <w:pPr>
              <w:pStyle w:val="Normlnywebov"/>
            </w:pPr>
            <w:r>
              <w:t>IT</w:t>
            </w:r>
          </w:p>
        </w:tc>
        <w:tc>
          <w:tcPr>
            <w:tcW w:w="0" w:type="auto"/>
            <w:vAlign w:val="center"/>
            <w:hideMark/>
          </w:tcPr>
          <w:p w:rsidR="00000000" w:rsidRDefault="00EB04A8">
            <w:pPr>
              <w:pStyle w:val="Normlnywebov"/>
            </w:pPr>
            <w:r>
              <w:t>Informačné technológie</w:t>
            </w:r>
          </w:p>
        </w:tc>
      </w:tr>
      <w:tr w:rsidR="00000000">
        <w:trPr>
          <w:divId w:val="1308390788"/>
          <w:cantSplit/>
          <w:tblCellSpacing w:w="15" w:type="dxa"/>
        </w:trPr>
        <w:tc>
          <w:tcPr>
            <w:tcW w:w="0" w:type="auto"/>
            <w:vAlign w:val="center"/>
            <w:hideMark/>
          </w:tcPr>
          <w:p w:rsidR="00000000" w:rsidRDefault="00EB04A8">
            <w:pPr>
              <w:pStyle w:val="Normlnywebov"/>
            </w:pPr>
            <w:r>
              <w:t>LAN</w:t>
            </w:r>
          </w:p>
        </w:tc>
        <w:tc>
          <w:tcPr>
            <w:tcW w:w="0" w:type="auto"/>
            <w:vAlign w:val="center"/>
            <w:hideMark/>
          </w:tcPr>
          <w:p w:rsidR="00000000" w:rsidRDefault="00EB04A8">
            <w:pPr>
              <w:pStyle w:val="Normlnywebov"/>
            </w:pPr>
            <w:r>
              <w:t>Local area network</w:t>
            </w:r>
          </w:p>
        </w:tc>
      </w:tr>
      <w:tr w:rsidR="00000000">
        <w:trPr>
          <w:divId w:val="1308390788"/>
          <w:cantSplit/>
          <w:tblCellSpacing w:w="15" w:type="dxa"/>
        </w:trPr>
        <w:tc>
          <w:tcPr>
            <w:tcW w:w="0" w:type="auto"/>
            <w:vAlign w:val="center"/>
            <w:hideMark/>
          </w:tcPr>
          <w:p w:rsidR="00000000" w:rsidRDefault="00EB04A8">
            <w:pPr>
              <w:pStyle w:val="Normlnywebov"/>
            </w:pPr>
            <w:r>
              <w:t>MF SR</w:t>
            </w:r>
          </w:p>
        </w:tc>
        <w:tc>
          <w:tcPr>
            <w:tcW w:w="0" w:type="auto"/>
            <w:vAlign w:val="center"/>
            <w:hideMark/>
          </w:tcPr>
          <w:p w:rsidR="00000000" w:rsidRDefault="00EB04A8">
            <w:pPr>
              <w:pStyle w:val="Normlnywebov"/>
            </w:pPr>
            <w:r>
              <w:t>Ministerstvo financií Slovenskej   republiky</w:t>
            </w:r>
          </w:p>
        </w:tc>
      </w:tr>
      <w:tr w:rsidR="00000000">
        <w:trPr>
          <w:divId w:val="1308390788"/>
          <w:cantSplit/>
          <w:tblCellSpacing w:w="15" w:type="dxa"/>
        </w:trPr>
        <w:tc>
          <w:tcPr>
            <w:tcW w:w="0" w:type="auto"/>
            <w:vAlign w:val="center"/>
            <w:hideMark/>
          </w:tcPr>
          <w:p w:rsidR="00000000" w:rsidRDefault="00EB04A8">
            <w:pPr>
              <w:pStyle w:val="Normlnywebov"/>
            </w:pPr>
            <w:r>
              <w:t>MÚS</w:t>
            </w:r>
          </w:p>
        </w:tc>
        <w:tc>
          <w:tcPr>
            <w:tcW w:w="0" w:type="auto"/>
            <w:vAlign w:val="center"/>
            <w:hideMark/>
          </w:tcPr>
          <w:p w:rsidR="00000000" w:rsidRDefault="00EB04A8">
            <w:pPr>
              <w:pStyle w:val="Normlnywebov"/>
            </w:pPr>
            <w:r>
              <w:t>Miestna územná samospráva</w:t>
            </w:r>
          </w:p>
        </w:tc>
      </w:tr>
      <w:tr w:rsidR="00000000">
        <w:trPr>
          <w:divId w:val="1308390788"/>
          <w:cantSplit/>
          <w:tblCellSpacing w:w="15" w:type="dxa"/>
        </w:trPr>
        <w:tc>
          <w:tcPr>
            <w:tcW w:w="0" w:type="auto"/>
            <w:vAlign w:val="center"/>
            <w:hideMark/>
          </w:tcPr>
          <w:p w:rsidR="00000000" w:rsidRDefault="00EB04A8">
            <w:pPr>
              <w:pStyle w:val="Normlnywebov"/>
            </w:pPr>
            <w:r>
              <w:t>Klient MÚS</w:t>
            </w:r>
          </w:p>
        </w:tc>
        <w:tc>
          <w:tcPr>
            <w:tcW w:w="0" w:type="auto"/>
            <w:vAlign w:val="center"/>
            <w:hideMark/>
          </w:tcPr>
          <w:p w:rsidR="00000000" w:rsidRDefault="00EB04A8">
            <w:pPr>
              <w:pStyle w:val="Normlnywebov"/>
            </w:pPr>
            <w:r>
              <w:t>V rámci elektronického výkonu   verejnej moci sú to obyvatelia a podnikatelia obcí a miest   a v </w:t>
            </w:r>
            <w:r>
              <w:t>rámci medzi-úradnej komunikácie sú to IVS, resp. OVM.</w:t>
            </w:r>
          </w:p>
        </w:tc>
      </w:tr>
      <w:tr w:rsidR="00000000">
        <w:trPr>
          <w:divId w:val="1308390788"/>
          <w:cantSplit/>
          <w:tblCellSpacing w:w="15" w:type="dxa"/>
        </w:trPr>
        <w:tc>
          <w:tcPr>
            <w:tcW w:w="0" w:type="auto"/>
            <w:vAlign w:val="center"/>
            <w:hideMark/>
          </w:tcPr>
          <w:p w:rsidR="00000000" w:rsidRDefault="00EB04A8">
            <w:pPr>
              <w:pStyle w:val="Normlnywebov"/>
            </w:pPr>
            <w:r>
              <w:t>MV SR</w:t>
            </w:r>
          </w:p>
        </w:tc>
        <w:tc>
          <w:tcPr>
            <w:tcW w:w="0" w:type="auto"/>
            <w:vAlign w:val="center"/>
            <w:hideMark/>
          </w:tcPr>
          <w:p w:rsidR="00000000" w:rsidRDefault="00EB04A8">
            <w:pPr>
              <w:pStyle w:val="Normlnywebov"/>
            </w:pPr>
            <w:r>
              <w:t>Ministerstvo vnútra Slovenskej   republiky</w:t>
            </w:r>
          </w:p>
        </w:tc>
      </w:tr>
      <w:tr w:rsidR="00000000">
        <w:trPr>
          <w:divId w:val="1308390788"/>
          <w:cantSplit/>
          <w:tblCellSpacing w:w="15" w:type="dxa"/>
        </w:trPr>
        <w:tc>
          <w:tcPr>
            <w:tcW w:w="0" w:type="auto"/>
            <w:vAlign w:val="center"/>
            <w:hideMark/>
          </w:tcPr>
          <w:p w:rsidR="00000000" w:rsidRDefault="00EB04A8">
            <w:pPr>
              <w:pStyle w:val="Normlnywebov"/>
            </w:pPr>
            <w:r>
              <w:t>NKIVS</w:t>
            </w:r>
          </w:p>
        </w:tc>
        <w:tc>
          <w:tcPr>
            <w:tcW w:w="0" w:type="auto"/>
            <w:vAlign w:val="center"/>
            <w:hideMark/>
          </w:tcPr>
          <w:p w:rsidR="00000000" w:rsidRDefault="00EB04A8">
            <w:pPr>
              <w:pStyle w:val="Normlnywebov"/>
            </w:pPr>
            <w:r>
              <w:t>Národná koncepcia informatizácie   verejnej správy</w:t>
            </w:r>
          </w:p>
        </w:tc>
      </w:tr>
      <w:tr w:rsidR="00000000">
        <w:trPr>
          <w:divId w:val="1308390788"/>
          <w:cantSplit/>
          <w:tblCellSpacing w:w="15" w:type="dxa"/>
        </w:trPr>
        <w:tc>
          <w:tcPr>
            <w:tcW w:w="0" w:type="auto"/>
            <w:vAlign w:val="center"/>
            <w:hideMark/>
          </w:tcPr>
          <w:p w:rsidR="00000000" w:rsidRDefault="00EB04A8">
            <w:pPr>
              <w:pStyle w:val="Normlnywebov"/>
            </w:pPr>
            <w:r>
              <w:t>NP</w:t>
            </w:r>
          </w:p>
        </w:tc>
        <w:tc>
          <w:tcPr>
            <w:tcW w:w="0" w:type="auto"/>
            <w:vAlign w:val="center"/>
            <w:hideMark/>
          </w:tcPr>
          <w:p w:rsidR="00000000" w:rsidRDefault="00EB04A8">
            <w:pPr>
              <w:pStyle w:val="Normlnywebov"/>
            </w:pPr>
            <w:r>
              <w:t>Národný projekt</w:t>
            </w:r>
          </w:p>
        </w:tc>
      </w:tr>
      <w:tr w:rsidR="00000000">
        <w:trPr>
          <w:divId w:val="1308390788"/>
          <w:cantSplit/>
          <w:tblCellSpacing w:w="15" w:type="dxa"/>
        </w:trPr>
        <w:tc>
          <w:tcPr>
            <w:tcW w:w="0" w:type="auto"/>
            <w:vAlign w:val="center"/>
            <w:hideMark/>
          </w:tcPr>
          <w:p w:rsidR="00000000" w:rsidRDefault="00EB04A8">
            <w:pPr>
              <w:pStyle w:val="Normlnywebov"/>
            </w:pPr>
            <w:r>
              <w:t>OP</w:t>
            </w:r>
          </w:p>
        </w:tc>
        <w:tc>
          <w:tcPr>
            <w:tcW w:w="0" w:type="auto"/>
            <w:vAlign w:val="center"/>
            <w:hideMark/>
          </w:tcPr>
          <w:p w:rsidR="00000000" w:rsidRDefault="00EB04A8">
            <w:pPr>
              <w:pStyle w:val="Normlnywebov"/>
            </w:pPr>
            <w:r>
              <w:t>Operačný program</w:t>
            </w:r>
          </w:p>
        </w:tc>
      </w:tr>
      <w:tr w:rsidR="00000000">
        <w:trPr>
          <w:divId w:val="1308390788"/>
          <w:cantSplit/>
          <w:tblCellSpacing w:w="15" w:type="dxa"/>
        </w:trPr>
        <w:tc>
          <w:tcPr>
            <w:tcW w:w="0" w:type="auto"/>
            <w:vAlign w:val="center"/>
            <w:hideMark/>
          </w:tcPr>
          <w:p w:rsidR="00000000" w:rsidRDefault="00EB04A8">
            <w:pPr>
              <w:pStyle w:val="Normlnywebov"/>
            </w:pPr>
            <w:r>
              <w:t>OP II</w:t>
            </w:r>
          </w:p>
        </w:tc>
        <w:tc>
          <w:tcPr>
            <w:tcW w:w="0" w:type="auto"/>
            <w:vAlign w:val="center"/>
            <w:hideMark/>
          </w:tcPr>
          <w:p w:rsidR="00000000" w:rsidRDefault="00EB04A8">
            <w:pPr>
              <w:pStyle w:val="Normlnywebov"/>
            </w:pPr>
            <w:r>
              <w:t>Operačný program Integrovaná   infraštruktúra</w:t>
            </w:r>
          </w:p>
        </w:tc>
      </w:tr>
      <w:tr w:rsidR="00000000">
        <w:trPr>
          <w:divId w:val="1308390788"/>
          <w:cantSplit/>
          <w:tblCellSpacing w:w="15" w:type="dxa"/>
        </w:trPr>
        <w:tc>
          <w:tcPr>
            <w:tcW w:w="0" w:type="auto"/>
            <w:vAlign w:val="center"/>
            <w:hideMark/>
          </w:tcPr>
          <w:p w:rsidR="00000000" w:rsidRDefault="00EB04A8">
            <w:pPr>
              <w:pStyle w:val="Normlnywebov"/>
            </w:pPr>
            <w:r>
              <w:t>OP IS</w:t>
            </w:r>
          </w:p>
        </w:tc>
        <w:tc>
          <w:tcPr>
            <w:tcW w:w="0" w:type="auto"/>
            <w:vAlign w:val="center"/>
            <w:hideMark/>
          </w:tcPr>
          <w:p w:rsidR="00000000" w:rsidRDefault="00EB04A8">
            <w:pPr>
              <w:pStyle w:val="Normlnywebov"/>
            </w:pPr>
            <w:r>
              <w:t>Operačný program Informatizácia   spoločnosti</w:t>
            </w:r>
          </w:p>
        </w:tc>
      </w:tr>
      <w:tr w:rsidR="00000000">
        <w:trPr>
          <w:divId w:val="1308390788"/>
          <w:cantSplit/>
          <w:tblCellSpacing w:w="15" w:type="dxa"/>
        </w:trPr>
        <w:tc>
          <w:tcPr>
            <w:tcW w:w="0" w:type="auto"/>
            <w:vAlign w:val="center"/>
            <w:hideMark/>
          </w:tcPr>
          <w:p w:rsidR="00000000" w:rsidRDefault="00EB04A8">
            <w:pPr>
              <w:pStyle w:val="Normlnywebov"/>
            </w:pPr>
            <w:r>
              <w:t>PaaS</w:t>
            </w:r>
          </w:p>
        </w:tc>
        <w:tc>
          <w:tcPr>
            <w:tcW w:w="0" w:type="auto"/>
            <w:vAlign w:val="center"/>
            <w:hideMark/>
          </w:tcPr>
          <w:p w:rsidR="00000000" w:rsidRDefault="00EB04A8">
            <w:pPr>
              <w:pStyle w:val="Normlnywebov"/>
            </w:pPr>
            <w:r>
              <w:t>Platform as a Service</w:t>
            </w:r>
          </w:p>
        </w:tc>
      </w:tr>
      <w:tr w:rsidR="00000000">
        <w:trPr>
          <w:divId w:val="1308390788"/>
          <w:cantSplit/>
          <w:tblCellSpacing w:w="15" w:type="dxa"/>
        </w:trPr>
        <w:tc>
          <w:tcPr>
            <w:tcW w:w="0" w:type="auto"/>
            <w:vAlign w:val="center"/>
            <w:hideMark/>
          </w:tcPr>
          <w:p w:rsidR="00000000" w:rsidRDefault="00EB04A8">
            <w:pPr>
              <w:pStyle w:val="Normlnywebov"/>
            </w:pPr>
            <w:r>
              <w:t>PBV</w:t>
            </w:r>
          </w:p>
        </w:tc>
        <w:tc>
          <w:tcPr>
            <w:tcW w:w="0" w:type="auto"/>
            <w:vAlign w:val="center"/>
            <w:hideMark/>
          </w:tcPr>
          <w:p w:rsidR="00000000" w:rsidRDefault="00EB04A8">
            <w:pPr>
              <w:pStyle w:val="Normlnywebov"/>
            </w:pPr>
            <w:r>
              <w:t>Rok návratu investície</w:t>
            </w:r>
          </w:p>
        </w:tc>
      </w:tr>
      <w:tr w:rsidR="00000000">
        <w:trPr>
          <w:divId w:val="1308390788"/>
          <w:cantSplit/>
          <w:tblCellSpacing w:w="15" w:type="dxa"/>
        </w:trPr>
        <w:tc>
          <w:tcPr>
            <w:tcW w:w="0" w:type="auto"/>
            <w:vAlign w:val="center"/>
            <w:hideMark/>
          </w:tcPr>
          <w:p w:rsidR="00000000" w:rsidRDefault="00EB04A8">
            <w:pPr>
              <w:pStyle w:val="Normlnywebov"/>
            </w:pPr>
            <w:r>
              <w:t>PDC</w:t>
            </w:r>
          </w:p>
        </w:tc>
        <w:tc>
          <w:tcPr>
            <w:tcW w:w="0" w:type="auto"/>
            <w:vAlign w:val="center"/>
            <w:hideMark/>
          </w:tcPr>
          <w:p w:rsidR="00000000" w:rsidRDefault="00EB04A8">
            <w:pPr>
              <w:pStyle w:val="Normlnywebov"/>
            </w:pPr>
            <w:r>
              <w:t>Primárne dátové centrum</w:t>
            </w:r>
          </w:p>
        </w:tc>
      </w:tr>
      <w:tr w:rsidR="00000000">
        <w:trPr>
          <w:divId w:val="1308390788"/>
          <w:cantSplit/>
          <w:tblCellSpacing w:w="15" w:type="dxa"/>
        </w:trPr>
        <w:tc>
          <w:tcPr>
            <w:tcW w:w="0" w:type="auto"/>
            <w:vAlign w:val="center"/>
            <w:hideMark/>
          </w:tcPr>
          <w:p w:rsidR="00000000" w:rsidRDefault="00EB04A8">
            <w:pPr>
              <w:pStyle w:val="Normlnywebov"/>
            </w:pPr>
            <w:r>
              <w:t>PO 07-13</w:t>
            </w:r>
          </w:p>
        </w:tc>
        <w:tc>
          <w:tcPr>
            <w:tcW w:w="0" w:type="auto"/>
            <w:vAlign w:val="center"/>
            <w:hideMark/>
          </w:tcPr>
          <w:p w:rsidR="00000000" w:rsidRDefault="00EB04A8">
            <w:pPr>
              <w:pStyle w:val="Normlnywebov"/>
            </w:pPr>
            <w:r>
              <w:t>Programové obdobie 2007 – 2013</w:t>
            </w:r>
          </w:p>
        </w:tc>
      </w:tr>
      <w:tr w:rsidR="00000000">
        <w:trPr>
          <w:divId w:val="1308390788"/>
          <w:cantSplit/>
          <w:tblCellSpacing w:w="15" w:type="dxa"/>
        </w:trPr>
        <w:tc>
          <w:tcPr>
            <w:tcW w:w="0" w:type="auto"/>
            <w:vAlign w:val="center"/>
            <w:hideMark/>
          </w:tcPr>
          <w:p w:rsidR="00000000" w:rsidRDefault="00EB04A8">
            <w:pPr>
              <w:pStyle w:val="Normlnywebov"/>
            </w:pPr>
            <w:r>
              <w:t>PO 14 - 20</w:t>
            </w:r>
          </w:p>
        </w:tc>
        <w:tc>
          <w:tcPr>
            <w:tcW w:w="0" w:type="auto"/>
            <w:vAlign w:val="center"/>
            <w:hideMark/>
          </w:tcPr>
          <w:p w:rsidR="00000000" w:rsidRDefault="00EB04A8">
            <w:pPr>
              <w:pStyle w:val="Normlnywebov"/>
            </w:pPr>
            <w:r>
              <w:t>Programové obdobie 2014 – 2020</w:t>
            </w:r>
          </w:p>
        </w:tc>
      </w:tr>
      <w:tr w:rsidR="00000000">
        <w:trPr>
          <w:divId w:val="1308390788"/>
          <w:cantSplit/>
          <w:tblCellSpacing w:w="15" w:type="dxa"/>
        </w:trPr>
        <w:tc>
          <w:tcPr>
            <w:tcW w:w="0" w:type="auto"/>
            <w:vAlign w:val="center"/>
            <w:hideMark/>
          </w:tcPr>
          <w:p w:rsidR="00000000" w:rsidRDefault="00EB04A8">
            <w:pPr>
              <w:pStyle w:val="Normlnywebov"/>
            </w:pPr>
            <w:r>
              <w:t>PO1</w:t>
            </w:r>
          </w:p>
        </w:tc>
        <w:tc>
          <w:tcPr>
            <w:tcW w:w="0" w:type="auto"/>
            <w:vAlign w:val="center"/>
            <w:hideMark/>
          </w:tcPr>
          <w:p w:rsidR="00000000" w:rsidRDefault="00EB04A8">
            <w:pPr>
              <w:pStyle w:val="Normlnywebov"/>
            </w:pPr>
            <w:r>
              <w:t>Prioritná os 1</w:t>
            </w:r>
          </w:p>
        </w:tc>
      </w:tr>
      <w:tr w:rsidR="00000000">
        <w:trPr>
          <w:divId w:val="1308390788"/>
          <w:cantSplit/>
          <w:tblCellSpacing w:w="15" w:type="dxa"/>
        </w:trPr>
        <w:tc>
          <w:tcPr>
            <w:tcW w:w="0" w:type="auto"/>
            <w:vAlign w:val="center"/>
            <w:hideMark/>
          </w:tcPr>
          <w:p w:rsidR="00000000" w:rsidRDefault="00EB04A8">
            <w:pPr>
              <w:pStyle w:val="Normlnywebov"/>
            </w:pPr>
            <w:r>
              <w:t>PO7</w:t>
            </w:r>
          </w:p>
        </w:tc>
        <w:tc>
          <w:tcPr>
            <w:tcW w:w="0" w:type="auto"/>
            <w:vAlign w:val="center"/>
            <w:hideMark/>
          </w:tcPr>
          <w:p w:rsidR="00000000" w:rsidRDefault="00EB04A8">
            <w:pPr>
              <w:pStyle w:val="Normlnywebov"/>
            </w:pPr>
            <w:r>
              <w:t>Prioritná os 7</w:t>
            </w:r>
          </w:p>
        </w:tc>
      </w:tr>
      <w:tr w:rsidR="00000000">
        <w:trPr>
          <w:divId w:val="1308390788"/>
          <w:cantSplit/>
          <w:tblCellSpacing w:w="15" w:type="dxa"/>
        </w:trPr>
        <w:tc>
          <w:tcPr>
            <w:tcW w:w="0" w:type="auto"/>
            <w:vAlign w:val="center"/>
            <w:hideMark/>
          </w:tcPr>
          <w:p w:rsidR="00000000" w:rsidRDefault="00EB04A8">
            <w:pPr>
              <w:pStyle w:val="Normlnywebov"/>
            </w:pPr>
            <w:r>
              <w:t>SaaS</w:t>
            </w:r>
          </w:p>
        </w:tc>
        <w:tc>
          <w:tcPr>
            <w:tcW w:w="0" w:type="auto"/>
            <w:vAlign w:val="center"/>
            <w:hideMark/>
          </w:tcPr>
          <w:p w:rsidR="00000000" w:rsidRDefault="00EB04A8">
            <w:pPr>
              <w:pStyle w:val="Normlnywebov"/>
            </w:pPr>
            <w:r>
              <w:t>Software as a Service</w:t>
            </w:r>
          </w:p>
        </w:tc>
      </w:tr>
      <w:tr w:rsidR="00000000">
        <w:trPr>
          <w:divId w:val="1308390788"/>
          <w:cantSplit/>
          <w:tblCellSpacing w:w="15" w:type="dxa"/>
        </w:trPr>
        <w:tc>
          <w:tcPr>
            <w:tcW w:w="0" w:type="auto"/>
            <w:vAlign w:val="center"/>
            <w:hideMark/>
          </w:tcPr>
          <w:p w:rsidR="00000000" w:rsidRDefault="00EB04A8">
            <w:pPr>
              <w:pStyle w:val="Normlnywebov"/>
            </w:pPr>
            <w:r>
              <w:t>SAN</w:t>
            </w:r>
          </w:p>
        </w:tc>
        <w:tc>
          <w:tcPr>
            <w:tcW w:w="0" w:type="auto"/>
            <w:vAlign w:val="center"/>
            <w:hideMark/>
          </w:tcPr>
          <w:p w:rsidR="00000000" w:rsidRDefault="00EB04A8">
            <w:pPr>
              <w:pStyle w:val="Normlnywebov"/>
            </w:pPr>
            <w:r>
              <w:t>Storage area network</w:t>
            </w:r>
          </w:p>
        </w:tc>
      </w:tr>
      <w:tr w:rsidR="00000000">
        <w:trPr>
          <w:divId w:val="1308390788"/>
          <w:cantSplit/>
          <w:tblCellSpacing w:w="15" w:type="dxa"/>
        </w:trPr>
        <w:tc>
          <w:tcPr>
            <w:tcW w:w="0" w:type="auto"/>
            <w:vAlign w:val="center"/>
            <w:hideMark/>
          </w:tcPr>
          <w:p w:rsidR="00000000" w:rsidRDefault="00EB04A8">
            <w:pPr>
              <w:pStyle w:val="Normlnywebov"/>
            </w:pPr>
            <w:r>
              <w:t>SDN</w:t>
            </w:r>
          </w:p>
        </w:tc>
        <w:tc>
          <w:tcPr>
            <w:tcW w:w="0" w:type="auto"/>
            <w:vAlign w:val="center"/>
            <w:hideMark/>
          </w:tcPr>
          <w:p w:rsidR="00000000" w:rsidRDefault="00EB04A8">
            <w:pPr>
              <w:pStyle w:val="Normlnywebov"/>
            </w:pPr>
            <w:r>
              <w:t>Software Defined Networking</w:t>
            </w:r>
          </w:p>
        </w:tc>
      </w:tr>
      <w:tr w:rsidR="00000000">
        <w:trPr>
          <w:divId w:val="1308390788"/>
          <w:cantSplit/>
          <w:tblCellSpacing w:w="15" w:type="dxa"/>
        </w:trPr>
        <w:tc>
          <w:tcPr>
            <w:tcW w:w="0" w:type="auto"/>
            <w:vAlign w:val="center"/>
            <w:hideMark/>
          </w:tcPr>
          <w:p w:rsidR="00000000" w:rsidRDefault="00EB04A8">
            <w:pPr>
              <w:pStyle w:val="Normlnywebov"/>
            </w:pPr>
            <w:r>
              <w:t>SLA</w:t>
            </w:r>
          </w:p>
        </w:tc>
        <w:tc>
          <w:tcPr>
            <w:tcW w:w="0" w:type="auto"/>
            <w:vAlign w:val="center"/>
            <w:hideMark/>
          </w:tcPr>
          <w:p w:rsidR="00000000" w:rsidRDefault="00EB04A8">
            <w:pPr>
              <w:pStyle w:val="Normlnywebov"/>
            </w:pPr>
            <w:r>
              <w:t>Service level agreement, zmluva o   úrovni poskytovanej služby</w:t>
            </w:r>
          </w:p>
        </w:tc>
      </w:tr>
      <w:tr w:rsidR="00000000">
        <w:trPr>
          <w:divId w:val="1308390788"/>
          <w:cantSplit/>
          <w:tblCellSpacing w:w="15" w:type="dxa"/>
        </w:trPr>
        <w:tc>
          <w:tcPr>
            <w:tcW w:w="0" w:type="auto"/>
            <w:vAlign w:val="center"/>
            <w:hideMark/>
          </w:tcPr>
          <w:p w:rsidR="00000000" w:rsidRDefault="00EB04A8">
            <w:pPr>
              <w:pStyle w:val="Normlnywebov"/>
            </w:pPr>
            <w:r>
              <w:t>SOcÚ</w:t>
            </w:r>
          </w:p>
        </w:tc>
        <w:tc>
          <w:tcPr>
            <w:tcW w:w="0" w:type="auto"/>
            <w:vAlign w:val="center"/>
            <w:hideMark/>
          </w:tcPr>
          <w:p w:rsidR="00000000" w:rsidRDefault="00EB04A8">
            <w:pPr>
              <w:pStyle w:val="Normlnywebov"/>
            </w:pPr>
            <w:r>
              <w:t>Spoločný obecný úrad</w:t>
            </w:r>
          </w:p>
        </w:tc>
      </w:tr>
      <w:tr w:rsidR="00000000">
        <w:trPr>
          <w:divId w:val="1308390788"/>
          <w:cantSplit/>
          <w:tblCellSpacing w:w="15" w:type="dxa"/>
        </w:trPr>
        <w:tc>
          <w:tcPr>
            <w:tcW w:w="0" w:type="auto"/>
            <w:vAlign w:val="center"/>
            <w:hideMark/>
          </w:tcPr>
          <w:p w:rsidR="00000000" w:rsidRDefault="00EB04A8">
            <w:pPr>
              <w:pStyle w:val="Normlnywebov"/>
            </w:pPr>
            <w:r>
              <w:t>SW</w:t>
            </w:r>
          </w:p>
        </w:tc>
        <w:tc>
          <w:tcPr>
            <w:tcW w:w="0" w:type="auto"/>
            <w:vAlign w:val="center"/>
            <w:hideMark/>
          </w:tcPr>
          <w:p w:rsidR="00000000" w:rsidRDefault="00EB04A8">
            <w:pPr>
              <w:pStyle w:val="Normlnywebov"/>
            </w:pPr>
            <w:r>
              <w:t>Software</w:t>
            </w:r>
          </w:p>
        </w:tc>
      </w:tr>
      <w:tr w:rsidR="00000000">
        <w:trPr>
          <w:divId w:val="1308390788"/>
          <w:cantSplit/>
          <w:tblCellSpacing w:w="15" w:type="dxa"/>
        </w:trPr>
        <w:tc>
          <w:tcPr>
            <w:tcW w:w="0" w:type="auto"/>
            <w:vAlign w:val="center"/>
            <w:hideMark/>
          </w:tcPr>
          <w:p w:rsidR="00000000" w:rsidRDefault="00EB04A8">
            <w:pPr>
              <w:pStyle w:val="Normlnywebov"/>
            </w:pPr>
            <w:r>
              <w:t>TCO</w:t>
            </w:r>
          </w:p>
        </w:tc>
        <w:tc>
          <w:tcPr>
            <w:tcW w:w="0" w:type="auto"/>
            <w:vAlign w:val="center"/>
            <w:hideMark/>
          </w:tcPr>
          <w:p w:rsidR="00000000" w:rsidRDefault="00EB04A8">
            <w:pPr>
              <w:pStyle w:val="Normlnywebov"/>
            </w:pPr>
            <w:r>
              <w:t>Total cost of ownership</w:t>
            </w:r>
          </w:p>
        </w:tc>
      </w:tr>
      <w:tr w:rsidR="00000000">
        <w:trPr>
          <w:divId w:val="1308390788"/>
          <w:cantSplit/>
          <w:tblCellSpacing w:w="15" w:type="dxa"/>
        </w:trPr>
        <w:tc>
          <w:tcPr>
            <w:tcW w:w="0" w:type="auto"/>
            <w:vAlign w:val="center"/>
            <w:hideMark/>
          </w:tcPr>
          <w:p w:rsidR="00000000" w:rsidRDefault="00EB04A8">
            <w:pPr>
              <w:pStyle w:val="Normlnywebov"/>
            </w:pPr>
            <w:r>
              <w:t>UP</w:t>
            </w:r>
          </w:p>
        </w:tc>
        <w:tc>
          <w:tcPr>
            <w:tcW w:w="0" w:type="auto"/>
            <w:vAlign w:val="center"/>
            <w:hideMark/>
          </w:tcPr>
          <w:p w:rsidR="00000000" w:rsidRDefault="00EB04A8">
            <w:pPr>
              <w:pStyle w:val="Normlnywebov"/>
            </w:pPr>
            <w:r>
              <w:t>Unified Proce</w:t>
            </w:r>
            <w:r>
              <w:t>ss</w:t>
            </w:r>
          </w:p>
        </w:tc>
      </w:tr>
      <w:tr w:rsidR="00000000">
        <w:trPr>
          <w:divId w:val="1308390788"/>
          <w:cantSplit/>
          <w:tblCellSpacing w:w="15" w:type="dxa"/>
        </w:trPr>
        <w:tc>
          <w:tcPr>
            <w:tcW w:w="0" w:type="auto"/>
            <w:vAlign w:val="center"/>
            <w:hideMark/>
          </w:tcPr>
          <w:p w:rsidR="00000000" w:rsidRDefault="00EB04A8">
            <w:pPr>
              <w:pStyle w:val="Normlnywebov"/>
            </w:pPr>
            <w:r>
              <w:t>UPS</w:t>
            </w:r>
          </w:p>
        </w:tc>
        <w:tc>
          <w:tcPr>
            <w:tcW w:w="0" w:type="auto"/>
            <w:vAlign w:val="center"/>
            <w:hideMark/>
          </w:tcPr>
          <w:p w:rsidR="00000000" w:rsidRDefault="00EB04A8">
            <w:pPr>
              <w:pStyle w:val="Normlnywebov"/>
            </w:pPr>
            <w:r>
              <w:t>Uninterruptible Power Supply -   záložný zdroj</w:t>
            </w:r>
          </w:p>
        </w:tc>
      </w:tr>
      <w:tr w:rsidR="00000000">
        <w:trPr>
          <w:divId w:val="1308390788"/>
          <w:cantSplit/>
          <w:tblCellSpacing w:w="15" w:type="dxa"/>
        </w:trPr>
        <w:tc>
          <w:tcPr>
            <w:tcW w:w="0" w:type="auto"/>
            <w:vAlign w:val="center"/>
            <w:hideMark/>
          </w:tcPr>
          <w:p w:rsidR="00000000" w:rsidRDefault="00EB04A8">
            <w:pPr>
              <w:pStyle w:val="Normlnywebov"/>
            </w:pPr>
            <w:r>
              <w:rPr>
                <w:rStyle w:val="inline-comment-marker"/>
              </w:rPr>
              <w:t>ÚPPVI</w:t>
            </w:r>
            <w:r>
              <w:rPr>
                <w:rStyle w:val="inline-comment-marker"/>
              </w:rPr>
              <w:t>I</w:t>
            </w:r>
          </w:p>
        </w:tc>
        <w:tc>
          <w:tcPr>
            <w:tcW w:w="0" w:type="auto"/>
            <w:vAlign w:val="center"/>
            <w:hideMark/>
          </w:tcPr>
          <w:p w:rsidR="00000000" w:rsidRDefault="00EB04A8">
            <w:pPr>
              <w:pStyle w:val="Normlnywebov"/>
            </w:pPr>
            <w:r>
              <w:t>Úrad podpredsedu vlády SR pre   investície a informatizáciu</w:t>
            </w:r>
          </w:p>
        </w:tc>
      </w:tr>
      <w:tr w:rsidR="00000000">
        <w:trPr>
          <w:divId w:val="1308390788"/>
          <w:cantSplit/>
          <w:tblCellSpacing w:w="15" w:type="dxa"/>
        </w:trPr>
        <w:tc>
          <w:tcPr>
            <w:tcW w:w="0" w:type="auto"/>
            <w:vAlign w:val="center"/>
            <w:hideMark/>
          </w:tcPr>
          <w:p w:rsidR="00000000" w:rsidRDefault="00EB04A8">
            <w:pPr>
              <w:pStyle w:val="Normlnywebov"/>
            </w:pPr>
            <w:r>
              <w:t>VPN</w:t>
            </w:r>
          </w:p>
        </w:tc>
        <w:tc>
          <w:tcPr>
            <w:tcW w:w="0" w:type="auto"/>
            <w:vAlign w:val="center"/>
            <w:hideMark/>
          </w:tcPr>
          <w:p w:rsidR="00000000" w:rsidRDefault="00EB04A8">
            <w:pPr>
              <w:pStyle w:val="Normlnywebov"/>
            </w:pPr>
            <w:r>
              <w:t>Virtual private network</w:t>
            </w:r>
          </w:p>
        </w:tc>
      </w:tr>
      <w:tr w:rsidR="00000000">
        <w:trPr>
          <w:divId w:val="1308390788"/>
          <w:cantSplit/>
          <w:tblCellSpacing w:w="15" w:type="dxa"/>
        </w:trPr>
        <w:tc>
          <w:tcPr>
            <w:tcW w:w="0" w:type="auto"/>
            <w:vAlign w:val="center"/>
            <w:hideMark/>
          </w:tcPr>
          <w:p w:rsidR="00000000" w:rsidRDefault="00EB04A8">
            <w:pPr>
              <w:pStyle w:val="Normlnywebov"/>
            </w:pPr>
            <w:r>
              <w:t>VZN</w:t>
            </w:r>
          </w:p>
        </w:tc>
        <w:tc>
          <w:tcPr>
            <w:tcW w:w="0" w:type="auto"/>
            <w:vAlign w:val="center"/>
            <w:hideMark/>
          </w:tcPr>
          <w:p w:rsidR="00000000" w:rsidRDefault="00EB04A8">
            <w:pPr>
              <w:pStyle w:val="Normlnywebov"/>
            </w:pPr>
            <w:r>
              <w:t>Všeobecne záväzné nariadenie</w:t>
            </w:r>
          </w:p>
        </w:tc>
      </w:tr>
      <w:tr w:rsidR="00000000">
        <w:trPr>
          <w:divId w:val="1308390788"/>
          <w:cantSplit/>
          <w:tblCellSpacing w:w="15" w:type="dxa"/>
        </w:trPr>
        <w:tc>
          <w:tcPr>
            <w:tcW w:w="0" w:type="auto"/>
            <w:vAlign w:val="center"/>
            <w:hideMark/>
          </w:tcPr>
          <w:p w:rsidR="00000000" w:rsidRDefault="00EB04A8">
            <w:pPr>
              <w:pStyle w:val="Normlnywebov"/>
            </w:pPr>
            <w:r>
              <w:t>WAN</w:t>
            </w:r>
          </w:p>
        </w:tc>
        <w:tc>
          <w:tcPr>
            <w:tcW w:w="0" w:type="auto"/>
            <w:vAlign w:val="center"/>
            <w:hideMark/>
          </w:tcPr>
          <w:p w:rsidR="00000000" w:rsidRDefault="00EB04A8">
            <w:pPr>
              <w:pStyle w:val="Normlnywebov"/>
            </w:pPr>
            <w:r>
              <w:t>Wide area network</w:t>
            </w:r>
          </w:p>
        </w:tc>
      </w:tr>
      <w:tr w:rsidR="00000000">
        <w:trPr>
          <w:divId w:val="1308390788"/>
          <w:cantSplit/>
          <w:tblCellSpacing w:w="15" w:type="dxa"/>
        </w:trPr>
        <w:tc>
          <w:tcPr>
            <w:tcW w:w="0" w:type="auto"/>
            <w:vAlign w:val="center"/>
            <w:hideMark/>
          </w:tcPr>
          <w:p w:rsidR="00000000" w:rsidRDefault="00EB04A8">
            <w:pPr>
              <w:pStyle w:val="Normlnywebov"/>
            </w:pPr>
            <w:r>
              <w:t>ZMOS</w:t>
            </w:r>
          </w:p>
        </w:tc>
        <w:tc>
          <w:tcPr>
            <w:tcW w:w="0" w:type="auto"/>
            <w:vAlign w:val="center"/>
            <w:hideMark/>
          </w:tcPr>
          <w:p w:rsidR="00000000" w:rsidRDefault="00EB04A8">
            <w:pPr>
              <w:pStyle w:val="Normlnywebov"/>
            </w:pPr>
            <w:r>
              <w:t>Združenie miest a obcí Slovenska</w:t>
            </w:r>
          </w:p>
        </w:tc>
      </w:tr>
    </w:tbl>
    <w:p w:rsidR="00000000" w:rsidRDefault="00EB04A8">
      <w:pPr>
        <w:pStyle w:val="Nadpis1"/>
        <w:rPr>
          <w:rFonts w:eastAsia="Times New Roman"/>
        </w:rPr>
      </w:pPr>
      <w:r>
        <w:rPr>
          <w:rFonts w:eastAsia="Times New Roman"/>
        </w:rPr>
        <w:t>2</w:t>
      </w:r>
      <w:r>
        <w:rPr>
          <w:rFonts w:eastAsia="Times New Roman"/>
        </w:rPr>
        <w:t xml:space="preserve"> </w:t>
      </w:r>
      <w:r>
        <w:rPr>
          <w:rStyle w:val="inline-comment-marker"/>
          <w:rFonts w:eastAsia="Times New Roman"/>
        </w:rPr>
        <w:t>Manažérske zhrnuti</w:t>
      </w:r>
      <w:r>
        <w:rPr>
          <w:rStyle w:val="inline-comment-marker"/>
          <w:rFonts w:eastAsia="Times New Roman"/>
        </w:rPr>
        <w:t>e</w:t>
      </w:r>
    </w:p>
    <w:p w:rsidR="00000000" w:rsidRDefault="00EB04A8">
      <w:pPr>
        <w:pStyle w:val="Normlnywebov"/>
      </w:pPr>
      <w:r>
        <w:t>Národný projekt DCOM vytvoril iniciálne prostredie s cloudovými službami pre samosprávu a realizoval pripojenie prvej skupiny obcí a miest (1511 z 2926 obcí a miest) k IS DCOM. Počas následnej prevádzky IS DCOM bolo ďalších 624 obcí a m</w:t>
      </w:r>
      <w:r>
        <w:t>iest zapojených do projektu miniDCOM+, pričom súčasťou ich pripojenia je aj záväzok časom prejsť na plnohodnotné riešenie do IS DCOM. Táto prvá fáza vybudovala IS DCOM bežiaci v cloude, definovala technologické štandardy, prevádzkové procesy a vysoko dostu</w:t>
      </w:r>
      <w:r>
        <w:t>pné škálovateľné a bezpečné cloudové riešenie pre miestnu územnú samosprávu.</w:t>
      </w:r>
    </w:p>
    <w:p w:rsidR="00000000" w:rsidRDefault="00EB04A8">
      <w:pPr>
        <w:pStyle w:val="Normlnywebov"/>
      </w:pPr>
      <w:r>
        <w:t>V zmysle Vládou SR schváleného dokumentu NKIVS pre väčšiu efektivitu IT/IS ŠS bolo prijaté pravidlo umiestňovania ISVS do „vládneho cloudu prednostne“. V súlade s týmto pravidlom,</w:t>
      </w:r>
      <w:r>
        <w:t xml:space="preserve"> je potrebné realizovať migráciu informačného systému obcí (ďalej len ISO) ako aj samotného IS DCOM do vládneho cloudu.</w:t>
      </w:r>
    </w:p>
    <w:p w:rsidR="00000000" w:rsidRDefault="00EB04A8">
      <w:pPr>
        <w:pStyle w:val="Normlnywebov"/>
      </w:pPr>
      <w:r>
        <w:t>Vládny cloud je budovaný ako otvorená výpočtová kapacita pre potreby celej verejnej správy. Cloud budovaný v rámci projektu DCOM, je pos</w:t>
      </w:r>
      <w:r>
        <w:t>tavený na inej technologickej platforme, ako vládny cloud. Z hľadiska budúcnosti nie je rozumné rozvíjať  cloudové riešenie samosprávy a vládneho cloudu na oboch technologicky odlišných platformách.  V zmysle stratégie informatizáce samosprávy prebehne tec</w:t>
      </w:r>
      <w:r>
        <w:t xml:space="preserve">hnologická konsolidácia DCOM do Vládneho cloudu v 2 fázach. </w:t>
      </w:r>
      <w:r>
        <w:br/>
        <w:t>V prvom kroku začne projekt DCOM využívať platformu vládneho cloudu pre potreby svojej záložnej výpočtovej kapacity a v druhom kroku, po ukončení doby morálnej životnosti techniky nakúpenej pre p</w:t>
      </w:r>
      <w:r>
        <w:t>rojekt DCOM a splnení podmienok trvalej udržateľnosti, aj pre primárnu výpočtovú kapacitu. Tento dvojkrokový scenár sa javí ako optimálny z hľadiska prevádzkového rizika a celkových nákladov na prevádzku a konsolidáciu</w:t>
      </w:r>
    </w:p>
    <w:p w:rsidR="00000000" w:rsidRDefault="00EB04A8">
      <w:pPr>
        <w:pStyle w:val="Normlnywebov"/>
      </w:pPr>
      <w:r>
        <w:t>Vzhľadom na už vybudované riešenie pr</w:t>
      </w:r>
      <w:r>
        <w:t xml:space="preserve">ojektu DCOM, ktoré samo o sebe predstavuje cloud, avšak z pohľadu použitých technológií nekompatibilný s vládnym cloud-om, bolo potrebné zvážiť alternatívy prvej fázy migrácie do vládneho cloudu z pohľadu efektívnosti a hospodárnosti vynakladania zdrojov, </w:t>
      </w:r>
      <w:r>
        <w:t>ako aj z pohľadu obstarania pôvodnej investície vládneho cloudu a IS DCOM pri zachovaní jej udržateľnosti.</w:t>
      </w:r>
    </w:p>
    <w:p w:rsidR="00000000" w:rsidRDefault="00EB04A8">
      <w:pPr>
        <w:pStyle w:val="Normlnywebov"/>
      </w:pPr>
      <w:r>
        <w:t>Alternatívy, ktoré nezohľadňovali udržateľnosť investície z OPIS-u, alebo boli príliš technicky zložité najmä na prevádzku (napr. migrácia DCOM centr</w:t>
      </w:r>
      <w:r>
        <w:t>álneho hardvéru do vládneho cloudu alebo migrácia vybraných prostredí do vládneho cloudu), sme po multikriteriálnej analýze vylúčili.</w:t>
      </w:r>
    </w:p>
    <w:p w:rsidR="00000000" w:rsidRDefault="00EB04A8">
      <w:pPr>
        <w:pStyle w:val="Normlnywebov"/>
      </w:pPr>
      <w:r>
        <w:t>Navrhovaná výsledná alternatíva tzv. hybridného cloudu spĺňa všetky definované predpoklady. Cieľom je prenesenie existujúcej funkcionality záložnej lokality IS DCOM z lokality DC Cintorínska do vládneho cloudu v lokalite Tajov, vďaka čomu získame výpočtový</w:t>
      </w:r>
      <w:r>
        <w:t xml:space="preserve"> výkon pre IS DCOM v primárnej lokalite tým, že ho posilníme z výpočtových zdrojov zo zrušenej záložnej lokality. Potrebné zdroje v novej záložnej lokalite DC Tajov nám poskytne vládny cloud. Novú záložnú lokalitu je potrebné odznova nainštalovať na nových</w:t>
      </w:r>
      <w:r>
        <w:t xml:space="preserve"> cloud technológiách vládneho cloudu. Týmto vznikne hybridný cloud, kde primárne riešenie IS DCOM v DC Kopčianska zostane tak ako je, na technológiách IS DCOM, iba sa rozšíri jeho výkon a vznikne nové záložné riešenie v DC Tajov na technológiách vládneho c</w:t>
      </w:r>
      <w:r>
        <w:t>loudu, bez nutnosti významnej investície do centrálnej infraštruktúry.</w:t>
      </w:r>
    </w:p>
    <w:p w:rsidR="00000000" w:rsidRDefault="00EB04A8">
      <w:pPr>
        <w:pStyle w:val="Normlnywebov"/>
      </w:pPr>
      <w:r>
        <w:t xml:space="preserve">Ďalším špecifikom migrácie do vládneho cloudu je aj fakt, že na rozdiel od mnohých agendových klient/server ISVS, IS DCOM pre samosprávu už teraz poskytuje služby na úrovni SaaS. Preto </w:t>
      </w:r>
      <w:r>
        <w:t>nie je potrebné, aby bol IS DCOM a jeho APV upravované, alebo vyvíjané nanovo, pretože už teraz a tak ako je, poskytuje cloudové služby.</w:t>
      </w:r>
    </w:p>
    <w:p w:rsidR="00000000" w:rsidRDefault="00EB04A8">
      <w:pPr>
        <w:pStyle w:val="Normlnywebov"/>
      </w:pPr>
      <w:r>
        <w:t>Spôsob poskytovania služieb pred realizáciou DCOM+ a po nej znázorňuje nasledujúca tabuľka. Z nej vyplýva, že projekt D</w:t>
      </w:r>
      <w:r>
        <w:t>COM+ nerozširuje služby IS DCOM, zachováva pôvodné SaaS, IaaS a PaaS tak ako je, iba pridáva výpočtový výkon a IaaS z vládneho cloudu, a vďaka tomu rozširuje výkon potrebný na pripojenie ďalších obcí.</w:t>
      </w:r>
      <w:r>
        <w:t xml:space="preserve"> </w:t>
      </w:r>
      <w:r>
        <w:rPr>
          <w:rStyle w:val="inline-comment-marker"/>
        </w:rPr>
        <w:t>Tým, že bude poskytovať IaaS a PaaS z vládneho cloudu v</w:t>
      </w:r>
      <w:r>
        <w:rPr>
          <w:rStyle w:val="inline-comment-marker"/>
        </w:rPr>
        <w:t xml:space="preserve"> lokalite DC Kopčianska a DC Tajov a nad tým SaaS služby, sa IS DCOM stane súčasťou vládneho cloudu</w:t>
      </w:r>
      <w:r>
        <w:rPr>
          <w:rStyle w:val="inline-comment-marker"/>
        </w:rPr>
        <w:t>.</w:t>
      </w:r>
    </w:p>
    <w:p w:rsidR="00000000" w:rsidRDefault="00EB04A8">
      <w:pPr>
        <w:pStyle w:val="Normlnywebov"/>
      </w:pPr>
      <w:r>
        <w:rPr>
          <w:rStyle w:val="Zvraznenie"/>
        </w:rPr>
        <w:t> </w:t>
      </w:r>
    </w:p>
    <w:p w:rsidR="00000000" w:rsidRDefault="00EB04A8">
      <w:pPr>
        <w:pStyle w:val="Normlnywebov"/>
      </w:pPr>
      <w:r>
        <w:t> </w:t>
      </w:r>
      <w:r>
        <w:rPr>
          <w:rStyle w:val="inline-comment-marker"/>
        </w:rPr>
        <w:t>Obrázok 4 Migrácia do vládneho cloud</w:t>
      </w:r>
      <w:r>
        <w:rPr>
          <w:rStyle w:val="inline-comment-marker"/>
        </w:rPr>
        <w:t>u</w:t>
      </w:r>
    </w:p>
    <w:p w:rsidR="00000000" w:rsidRDefault="00EB04A8">
      <w:pPr>
        <w:pStyle w:val="Normlnywebov"/>
      </w:pPr>
      <w:r>
        <w:t>  </w:t>
      </w:r>
      <w:r>
        <w:rPr>
          <w:noProof/>
        </w:rPr>
        <w:drawing>
          <wp:inline distT="0" distB="0" distL="0" distR="0">
            <wp:extent cx="4457700" cy="4617720"/>
            <wp:effectExtent l="0" t="0" r="0" b="0"/>
            <wp:docPr id="4" name="Obrázok 4" descr="C:\b11b9fa9761cb0ef8db997e3f5c8fa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b11b9fa9761cb0ef8db997e3f5c8fa6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57700" cy="4617720"/>
                    </a:xfrm>
                    <a:prstGeom prst="rect">
                      <a:avLst/>
                    </a:prstGeom>
                    <a:noFill/>
                    <a:ln>
                      <a:noFill/>
                    </a:ln>
                  </pic:spPr>
                </pic:pic>
              </a:graphicData>
            </a:graphic>
          </wp:inline>
        </w:drawing>
      </w:r>
      <w:r>
        <w:t>                     </w:t>
      </w:r>
    </w:p>
    <w:p w:rsidR="00000000" w:rsidRDefault="00EB04A8">
      <w:pPr>
        <w:pStyle w:val="Normlnywebov"/>
      </w:pPr>
      <w:r>
        <w:t> </w:t>
      </w:r>
    </w:p>
    <w:p w:rsidR="00000000" w:rsidRDefault="00EB04A8">
      <w:pPr>
        <w:pStyle w:val="Normlnywebov"/>
      </w:pPr>
      <w:r>
        <w:t>Predmetom samotného projektu DCOM+ je sprístupnenie už vybudovaného riešenia IS DCOM pre ďalšie obce a mestá formou migrácie ISO do vládneho cloudu v prostredí IS DCOM s poskytnutím plnohodnotnýc</w:t>
      </w:r>
      <w:r>
        <w:t>h IT služieb. Zámerom projektu nie je vývoj nových služieb, ale využívanie už existujúcich zdieľaných služieb. Nedôjde ku zmenám v rozsahu poskytovaných služieb, zmenám procesov v rámci IS DCOM ani k zavádzaniu nového agendového IS. Ide primárne o pripojen</w:t>
      </w:r>
      <w:r>
        <w:t>ie ďalších obcí do už existujúceho IS DCOM a čiastočné posilnenie centrálnej úrovne zodpovedajúce nárastu počtu pripojených obcí. Plošné rozšírenie zdieľaných cloudových služieb pre obce a mestá rôznych veľkostných segmentov je časovo náročná úloha a preto</w:t>
      </w:r>
      <w:r>
        <w:t xml:space="preserve"> musí byť realizovaná v postupných krokoch. O projekt DCOM+ už prejavilo záujem 624 obcí, zmluvným záväzkom zapojenia sa do projektu miniDCOM+. Okrem toho sa predpokladá záujem ďalších 449 obcí. Spolu tak bude mať projekt DCOM+ vytvorené predpoklady na pri</w:t>
      </w:r>
      <w:r>
        <w:t>pojenie ďalších 1073 nových obcí a dovybavenie 1474 obcí novými službami infraštruktúry, čo predstavuje 2547 obcí a miest zahrnutých do projektu „Migrácia IS obcí do vládneho cloudu - Plošné rozšírenie IS DCOM – 2. etapa (DCOM+)“.</w:t>
      </w:r>
    </w:p>
    <w:p w:rsidR="00000000" w:rsidRDefault="00EB04A8">
      <w:pPr>
        <w:pStyle w:val="Normlnywebov"/>
      </w:pPr>
      <w:r>
        <w:t>Vzhľadom na nemožnosť úpl</w:t>
      </w:r>
      <w:r>
        <w:t>ne presne odhadnúť skutočný záujem obcí, je potrebné zmluvu s dodávateľom na plošné rozšírenie IS DCOM do ďalších obcí a miest postaviť ako rámcovú zmluvu, ktorá umožní obslúžiť presne taký počet obcí, aký prejaví záujem.</w:t>
      </w:r>
    </w:p>
    <w:p w:rsidR="00000000" w:rsidRDefault="00EB04A8">
      <w:pPr>
        <w:pStyle w:val="Normlnywebov"/>
      </w:pPr>
      <w:r>
        <w:t>V súvislosti s autonómnym postaven</w:t>
      </w:r>
      <w:r>
        <w:t>ím obcí a miest musí projekt DCOM+ vytvoriť potrebný časový rámec pre rozhodovanie, pripojenie a migráciu údajov do nového prostredia (významnou časťou migrácie údajov je ich konsolidácia). Harmonogram projektu je navrhovaný ako flexibilný, nakoľko musí re</w:t>
      </w:r>
      <w:r>
        <w:t>agovať na požiadavky, aktuálne technické a kapacitné možnosti, ako aj na sezónnosť práce miest a obcí.</w:t>
      </w:r>
    </w:p>
    <w:p w:rsidR="00000000" w:rsidRDefault="00EB04A8">
      <w:pPr>
        <w:pStyle w:val="Normlnywebov"/>
      </w:pPr>
      <w:r>
        <w:t>Projekt počíta aj s možnosťou individuálneho prispôsobovania požiadaviek pre migráciu údajov pre väčšie obce a mestá, nakoľko prípadné manuálne dolaďovan</w:t>
      </w:r>
      <w:r>
        <w:t>ie „pomigračného stavu“ pri väčšom objeme údajov prestáva byť zvládnuteľné. Samotný rozsah a spôsob individuálnej migrácie bude stanovený na základe analýzy východiskového stavu.</w:t>
      </w:r>
    </w:p>
    <w:p w:rsidR="00000000" w:rsidRDefault="00EB04A8">
      <w:pPr>
        <w:pStyle w:val="Normlnywebov"/>
      </w:pPr>
      <w:r>
        <w:t>Pripájanie obcí bude závislé aj na pripravenosti jednotlivých ISO, ktoré obec</w:t>
      </w:r>
      <w:r>
        <w:t xml:space="preserve"> používa pre vnútorné agendy. V súčasnosti je overených sedem ISO dodávateľov na integráciu a kompatibilitu s prostredím IS DCOM. Projekt ráta s tým, že pre ďalšie možné ISO zabezpečí overenie zhody prijímateľ.</w:t>
      </w:r>
    </w:p>
    <w:p w:rsidR="00000000" w:rsidRDefault="00EB04A8">
      <w:pPr>
        <w:pStyle w:val="Normlnywebov"/>
      </w:pPr>
      <w:r>
        <w:t xml:space="preserve">Tak ako sme spomínali v úvode tejto kapitoly </w:t>
      </w:r>
      <w:r>
        <w:t>migrácia ISO a IS DCOM do vládneho cloudu je významným, nie však jediným krokom k efektívnejšiemu využívaniu vládneho cloudu v rámci schválených politík NKIVS – vládny cloud prednostne. Pre úplnú migráciu IS DCOM do vládneho cloudu bude potrebné, po splnen</w:t>
      </w:r>
      <w:r>
        <w:t>í podmienok trvalej udržateľnosti projektu DCOM, zrealizovať aj jeho druhú fázu migrácie v zmysle dokumentu Stratégie informatizácie miestnej územnej samosprávy (SIMÚS) 2017-2022.</w:t>
      </w:r>
    </w:p>
    <w:p w:rsidR="00000000" w:rsidRDefault="00EB04A8">
      <w:pPr>
        <w:pStyle w:val="Normlnywebov"/>
      </w:pPr>
      <w:r>
        <w:t>                   </w:t>
      </w:r>
    </w:p>
    <w:p w:rsidR="00000000" w:rsidRDefault="00EB04A8">
      <w:pPr>
        <w:pStyle w:val="Nadpis2"/>
        <w:rPr>
          <w:rFonts w:eastAsia="Times New Roman"/>
        </w:rPr>
      </w:pPr>
      <w:r>
        <w:rPr>
          <w:rFonts w:eastAsia="Times New Roman"/>
        </w:rPr>
        <w:t>2.1.</w:t>
      </w:r>
      <w:r>
        <w:rPr>
          <w:rFonts w:eastAsia="Times New Roman"/>
        </w:rPr>
        <w:t xml:space="preserve"> </w:t>
      </w:r>
      <w:r>
        <w:rPr>
          <w:rStyle w:val="inline-comment-marker"/>
          <w:rFonts w:eastAsia="Times New Roman"/>
        </w:rPr>
        <w:t>Motiváci</w:t>
      </w:r>
      <w:r>
        <w:rPr>
          <w:rStyle w:val="inline-comment-marker"/>
          <w:rFonts w:eastAsia="Times New Roman"/>
        </w:rPr>
        <w:t>a</w:t>
      </w:r>
    </w:p>
    <w:p w:rsidR="00000000" w:rsidRDefault="00EB04A8">
      <w:pPr>
        <w:pStyle w:val="Normlnywebov"/>
      </w:pPr>
      <w:r>
        <w:rPr>
          <w:rStyle w:val="Zvraznenie"/>
        </w:rPr>
        <w:t>Tabuľka 3 Motivácia – budúci stav</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517"/>
        <w:gridCol w:w="5843"/>
      </w:tblGrid>
      <w:tr w:rsidR="00000000">
        <w:trPr>
          <w:divId w:val="1121730344"/>
          <w:cantSplit/>
          <w:tblCellSpacing w:w="15" w:type="dxa"/>
        </w:trPr>
        <w:tc>
          <w:tcPr>
            <w:tcW w:w="0" w:type="auto"/>
            <w:gridSpan w:val="2"/>
            <w:vAlign w:val="center"/>
            <w:hideMark/>
          </w:tcPr>
          <w:p w:rsidR="00000000" w:rsidRDefault="00EB04A8">
            <w:pPr>
              <w:pStyle w:val="Normlnywebov"/>
            </w:pPr>
            <w:r>
              <w:rPr>
                <w:rStyle w:val="Siln"/>
              </w:rPr>
              <w:t>Súhrnný</w:t>
            </w:r>
            <w:r>
              <w:rPr>
                <w:rStyle w:val="Siln"/>
              </w:rPr>
              <w:t xml:space="preserve"> popis</w:t>
            </w:r>
          </w:p>
        </w:tc>
      </w:tr>
      <w:tr w:rsidR="00000000">
        <w:trPr>
          <w:divId w:val="1121730344"/>
          <w:cantSplit/>
          <w:tblCellSpacing w:w="15" w:type="dxa"/>
        </w:trPr>
        <w:tc>
          <w:tcPr>
            <w:tcW w:w="0" w:type="auto"/>
            <w:gridSpan w:val="2"/>
            <w:vAlign w:val="center"/>
            <w:hideMark/>
          </w:tcPr>
          <w:p w:rsidR="00000000" w:rsidRDefault="00EB04A8">
            <w:pPr>
              <w:pStyle w:val="Normlnywebov"/>
            </w:pPr>
            <w:r>
              <w:t>Združenie DEUS bolo založené ZMOS a MF SR za účelom podpory informatizácie MÚS s ambíciou poskytovať eSlužby pre fyzické a právnické osoby.</w:t>
            </w:r>
          </w:p>
          <w:p w:rsidR="00000000" w:rsidRDefault="00EB04A8">
            <w:pPr>
              <w:numPr>
                <w:ilvl w:val="0"/>
                <w:numId w:val="5"/>
              </w:numPr>
              <w:spacing w:before="100" w:beforeAutospacing="1" w:after="100" w:afterAutospacing="1"/>
              <w:rPr>
                <w:rFonts w:eastAsia="Times New Roman"/>
              </w:rPr>
            </w:pPr>
            <w:r>
              <w:rPr>
                <w:rFonts w:eastAsia="Times New Roman"/>
              </w:rPr>
              <w:t>ZMOS zastupovalo k 31.12.2016 z celkového počtu 2 926 obcí, miest a mestských častí 2 786 subjektov, čo zna</w:t>
            </w:r>
            <w:r>
              <w:rPr>
                <w:rFonts w:eastAsia="Times New Roman"/>
              </w:rPr>
              <w:t>mená 95 % organizovanosť na dobrovoľnom princípe.</w:t>
            </w:r>
          </w:p>
          <w:p w:rsidR="00000000" w:rsidRDefault="00EB04A8">
            <w:pPr>
              <w:numPr>
                <w:ilvl w:val="0"/>
                <w:numId w:val="5"/>
              </w:numPr>
              <w:spacing w:before="100" w:beforeAutospacing="1" w:after="100" w:afterAutospacing="1"/>
              <w:rPr>
                <w:rFonts w:eastAsia="Times New Roman"/>
              </w:rPr>
            </w:pPr>
            <w:r>
              <w:rPr>
                <w:rFonts w:eastAsia="Times New Roman"/>
              </w:rPr>
              <w:t>MF SR bolo donedávna ústredným orgánom štátnej správy pre oblasť informatizácie spoločnosti a je stále zodpovedné za alokačnú efektívnosť verejných zdrojov.</w:t>
            </w:r>
          </w:p>
          <w:p w:rsidR="00000000" w:rsidRDefault="00EB04A8">
            <w:pPr>
              <w:pStyle w:val="Normlnywebov"/>
            </w:pPr>
            <w:r>
              <w:t>Vzhľadom na vymedzenie pôsobnosti DEUS v § 9a zákona o eGovernmente, ako organizácie účelovo zriadenej pre potreby územnej samosprávy, nie je jeho ambíciou poskytovať služby subjektom mimo tento okruh.</w:t>
            </w:r>
            <w:r>
              <w:t xml:space="preserve"> </w:t>
            </w:r>
            <w:r>
              <w:rPr>
                <w:rStyle w:val="inline-comment-marker"/>
              </w:rPr>
              <w:t>Poskytovanie služieb pre komerčné subjekty však v zása</w:t>
            </w:r>
            <w:r>
              <w:rPr>
                <w:rStyle w:val="inline-comment-marker"/>
              </w:rPr>
              <w:t>de nevylučuje, zvlášť pokiaľ takéto služby podporia alebo umožnia skvalitnenie alebo zefektívnenie služieb komerčných subjektov pre obce a mest</w:t>
            </w:r>
            <w:r>
              <w:rPr>
                <w:rStyle w:val="inline-comment-marker"/>
              </w:rPr>
              <w:t>á</w:t>
            </w:r>
            <w:r>
              <w:t>. V čase tvorby štúdie uskutočniteľnosti však nie je možné objektívne odhadnúť takéto príjmy vopred, keďže ide l</w:t>
            </w:r>
            <w:r>
              <w:t xml:space="preserve">en o teoretickú možnosť a nie je známa (a ani nie je možné ju ex-ante vypočítať) výška ceny, ktorá by bola za takéto služby požadovaná a zároveň nie je známy (a nie je ho možné ani objektívne odhadnúť) očakávaný počet užívateľov. DEUS v prípade vytvorenia </w:t>
            </w:r>
            <w:r>
              <w:t>takého príjmu, oznámi túto skutočnosť poskytovateľovi pomoci tak, aby bolo možné vykonať výpočet finančnej medzery v súlade s príslušnou slovenskou a európskou legislatívou.</w:t>
            </w:r>
          </w:p>
          <w:p w:rsidR="00000000" w:rsidRDefault="00EB04A8">
            <w:pPr>
              <w:pStyle w:val="Normlnywebov"/>
            </w:pPr>
            <w:r>
              <w:t>Hlavným poslaním DEUS je:</w:t>
            </w:r>
          </w:p>
          <w:p w:rsidR="00000000" w:rsidRDefault="00EB04A8">
            <w:pPr>
              <w:numPr>
                <w:ilvl w:val="0"/>
                <w:numId w:val="6"/>
              </w:numPr>
              <w:spacing w:before="100" w:beforeAutospacing="1" w:after="100" w:afterAutospacing="1"/>
              <w:rPr>
                <w:rFonts w:eastAsia="Times New Roman"/>
              </w:rPr>
            </w:pPr>
            <w:r>
              <w:rPr>
                <w:rFonts w:eastAsia="Times New Roman"/>
              </w:rPr>
              <w:t>podpora informatizácie samosprávy,</w:t>
            </w:r>
          </w:p>
          <w:p w:rsidR="00000000" w:rsidRDefault="00EB04A8">
            <w:pPr>
              <w:numPr>
                <w:ilvl w:val="0"/>
                <w:numId w:val="6"/>
              </w:numPr>
              <w:spacing w:before="100" w:beforeAutospacing="1" w:after="100" w:afterAutospacing="1"/>
              <w:rPr>
                <w:rFonts w:eastAsia="Times New Roman"/>
              </w:rPr>
            </w:pPr>
            <w:r>
              <w:rPr>
                <w:rFonts w:eastAsia="Times New Roman"/>
              </w:rPr>
              <w:t>rozvoj a dodávka IT s</w:t>
            </w:r>
            <w:r>
              <w:rPr>
                <w:rFonts w:eastAsia="Times New Roman"/>
              </w:rPr>
              <w:t>lužieb pre samosprávu s pridanou hodnotou,</w:t>
            </w:r>
          </w:p>
          <w:p w:rsidR="00000000" w:rsidRDefault="00EB04A8">
            <w:pPr>
              <w:numPr>
                <w:ilvl w:val="0"/>
                <w:numId w:val="6"/>
              </w:numPr>
              <w:spacing w:before="100" w:beforeAutospacing="1" w:after="100" w:afterAutospacing="1"/>
              <w:rPr>
                <w:rFonts w:eastAsia="Times New Roman"/>
              </w:rPr>
            </w:pPr>
            <w:r>
              <w:rPr>
                <w:rFonts w:eastAsia="Times New Roman"/>
              </w:rPr>
              <w:t>zastupovanie záujmov samosprávy voči orgánom štátnej správy, územnej samosprávy a ďalším právnym subjektom.</w:t>
            </w:r>
          </w:p>
          <w:p w:rsidR="00000000" w:rsidRDefault="00EB04A8">
            <w:pPr>
              <w:pStyle w:val="Normlnywebov"/>
            </w:pPr>
            <w:r>
              <w:t xml:space="preserve">DEUS je špecifickým poskytovateľom cloudových služieb typu SaaS pre subjekty MÚS, a to s využitím IaaS a </w:t>
            </w:r>
            <w:r>
              <w:t>PaaS vládneho cloudu v súlade s technologickým princípom „vládny cloud prednostne“. Efektívnosť projektu DCOM je priamo úmerná od počtu zapojených obcí a miest, preto je dosiahnutie čo najväčšieho počtu pripojených obcí a tým pádom zmigrovaných ISVS jedným</w:t>
            </w:r>
            <w:r>
              <w:t xml:space="preserve"> z dôležitých cieľov projektu.</w:t>
            </w:r>
          </w:p>
          <w:p w:rsidR="00000000" w:rsidRDefault="00EB04A8">
            <w:pPr>
              <w:pStyle w:val="Normlnywebov"/>
            </w:pPr>
            <w:r>
              <w:t>Pre merateľné ukazovatele projektu DCOM+ boli tým pádom zvolené dva základné parametre úspešnosti projektu a to množstvo zapojených ISVS do vládneho cloudu ako aj ekonomický ukazovateľ úspory prevádzkových nákladov:</w:t>
            </w:r>
          </w:p>
          <w:p w:rsidR="00000000" w:rsidRDefault="00EB04A8">
            <w:pPr>
              <w:pStyle w:val="Normlnywebov"/>
            </w:pPr>
            <w:r>
              <w:rPr>
                <w:rStyle w:val="Zvraznenie"/>
              </w:rPr>
              <w:t>Tabuľka 3</w:t>
            </w:r>
            <w:r>
              <w:rPr>
                <w:rStyle w:val="Zvraznenie"/>
              </w:rPr>
              <w:t>.1 Počet zapojených ISVS do vládneho cloudu</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861"/>
              <w:gridCol w:w="1007"/>
              <w:gridCol w:w="1795"/>
            </w:tblGrid>
            <w:tr w:rsidR="00000000">
              <w:trPr>
                <w:divId w:val="1631940564"/>
                <w:cantSplit/>
                <w:tblCellSpacing w:w="15" w:type="dxa"/>
              </w:trPr>
              <w:tc>
                <w:tcPr>
                  <w:tcW w:w="0" w:type="auto"/>
                  <w:vAlign w:val="center"/>
                  <w:hideMark/>
                </w:tcPr>
                <w:p w:rsidR="00000000" w:rsidRDefault="00EB04A8">
                  <w:pPr>
                    <w:pStyle w:val="Normlnywebov"/>
                  </w:pPr>
                  <w:r>
                    <w:rPr>
                      <w:rStyle w:val="Siln"/>
                    </w:rPr>
                    <w:t>Ukazovateľ   1</w:t>
                  </w:r>
                </w:p>
              </w:tc>
              <w:tc>
                <w:tcPr>
                  <w:tcW w:w="0" w:type="auto"/>
                  <w:vAlign w:val="center"/>
                  <w:hideMark/>
                </w:tcPr>
                <w:p w:rsidR="00000000" w:rsidRDefault="00EB04A8">
                  <w:pPr>
                    <w:pStyle w:val="Normlnywebov"/>
                    <w:jc w:val="center"/>
                  </w:pPr>
                  <w:r>
                    <w:rPr>
                      <w:rStyle w:val="Siln"/>
                    </w:rPr>
                    <w:t>Potenciál</w:t>
                  </w:r>
                </w:p>
              </w:tc>
              <w:tc>
                <w:tcPr>
                  <w:tcW w:w="0" w:type="auto"/>
                  <w:vAlign w:val="center"/>
                  <w:hideMark/>
                </w:tcPr>
                <w:p w:rsidR="00000000" w:rsidRDefault="00EB04A8">
                  <w:pPr>
                    <w:pStyle w:val="Normlnywebov"/>
                    <w:jc w:val="center"/>
                  </w:pPr>
                  <w:r>
                    <w:rPr>
                      <w:rStyle w:val="Siln"/>
                    </w:rPr>
                    <w:t>Cieľová hodnota</w:t>
                  </w:r>
                </w:p>
              </w:tc>
            </w:tr>
            <w:tr w:rsidR="00000000">
              <w:trPr>
                <w:divId w:val="1631940564"/>
                <w:cantSplit/>
                <w:tblCellSpacing w:w="15" w:type="dxa"/>
              </w:trPr>
              <w:tc>
                <w:tcPr>
                  <w:tcW w:w="0" w:type="auto"/>
                  <w:vAlign w:val="center"/>
                  <w:hideMark/>
                </w:tcPr>
                <w:p w:rsidR="00000000" w:rsidRDefault="00EB04A8">
                  <w:pPr>
                    <w:pStyle w:val="Normlnywebov"/>
                  </w:pPr>
                  <w:r>
                    <w:t>Pomer ISVS obcí zapojených do vládneho cloudu</w:t>
                  </w:r>
                </w:p>
              </w:tc>
              <w:tc>
                <w:tcPr>
                  <w:tcW w:w="0" w:type="auto"/>
                  <w:vAlign w:val="center"/>
                  <w:hideMark/>
                </w:tcPr>
                <w:p w:rsidR="00000000" w:rsidRDefault="00EB04A8">
                  <w:pPr>
                    <w:pStyle w:val="Normlnywebov"/>
                    <w:jc w:val="center"/>
                  </w:pPr>
                  <w:r>
                    <w:t>100 %</w:t>
                  </w:r>
                </w:p>
              </w:tc>
              <w:tc>
                <w:tcPr>
                  <w:tcW w:w="0" w:type="auto"/>
                  <w:vAlign w:val="center"/>
                  <w:hideMark/>
                </w:tcPr>
                <w:p w:rsidR="00000000" w:rsidRDefault="00EB04A8">
                  <w:pPr>
                    <w:pStyle w:val="Normlnywebov"/>
                    <w:jc w:val="center"/>
                  </w:pPr>
                  <w:r>
                    <w:t>60 %</w:t>
                  </w:r>
                </w:p>
              </w:tc>
            </w:tr>
            <w:tr w:rsidR="00000000">
              <w:trPr>
                <w:divId w:val="1631940564"/>
                <w:cantSplit/>
                <w:tblCellSpacing w:w="15" w:type="dxa"/>
              </w:trPr>
              <w:tc>
                <w:tcPr>
                  <w:tcW w:w="0" w:type="auto"/>
                  <w:vAlign w:val="center"/>
                  <w:hideMark/>
                </w:tcPr>
                <w:p w:rsidR="00000000" w:rsidRDefault="00EB04A8">
                  <w:pPr>
                    <w:pStyle w:val="Normlnywebov"/>
                  </w:pPr>
                  <w:r>
                    <w:t>Počet ISVS obcí zapojených do vládneho cloudu</w:t>
                  </w:r>
                </w:p>
              </w:tc>
              <w:tc>
                <w:tcPr>
                  <w:tcW w:w="0" w:type="auto"/>
                  <w:vAlign w:val="center"/>
                  <w:hideMark/>
                </w:tcPr>
                <w:p w:rsidR="00000000" w:rsidRDefault="00EB04A8">
                  <w:pPr>
                    <w:pStyle w:val="Normlnywebov"/>
                    <w:jc w:val="center"/>
                  </w:pPr>
                  <w:r>
                    <w:t>1073</w:t>
                  </w:r>
                </w:p>
              </w:tc>
              <w:tc>
                <w:tcPr>
                  <w:tcW w:w="0" w:type="auto"/>
                  <w:vAlign w:val="center"/>
                  <w:hideMark/>
                </w:tcPr>
                <w:p w:rsidR="00000000" w:rsidRDefault="00EB04A8">
                  <w:pPr>
                    <w:pStyle w:val="Normlnywebov"/>
                    <w:jc w:val="center"/>
                  </w:pPr>
                  <w:r>
                    <w:t>644</w:t>
                  </w:r>
                </w:p>
              </w:tc>
            </w:tr>
          </w:tbl>
          <w:p w:rsidR="00000000" w:rsidRDefault="00EB04A8">
            <w:pPr>
              <w:pStyle w:val="Normlnywebov"/>
            </w:pPr>
            <w:r>
              <w:t>KPI počtu zapojených obcí je definované ako pomer počtu do cloudu premigrovaných informačných systémov verejnej správy k počtu projektom odhadovaných ISVS na zmigrovanie. Cieľová hodnota KPI je 60%, čo znamená premigrovaných 644 ISVS z celkových 1073 ISVS.</w:t>
            </w:r>
            <w:r>
              <w:t xml:space="preserve"> Každá obec predstavuje jeden ISVS, ktorý je potrebné premigrovať. ISVS obce pozostáva minimálne z evidencie daní a poplatkov, ktoré je potrebné migrovať individuálne pre každú obec. Pri migrácii ISVS do cloudu zároveň dochádza ku kontrole dát a ich normal</w:t>
            </w:r>
            <w:r>
              <w:t>izácii.</w:t>
            </w:r>
          </w:p>
          <w:p w:rsidR="00000000" w:rsidRDefault="00EB04A8">
            <w:pPr>
              <w:pStyle w:val="Normlnywebov"/>
            </w:pPr>
            <w:r>
              <w:t>Týmto KPI projektu sa zároveň napĺňa aj KPI z NKIVS 3.1.5 „Optimalizácia využitia informačných technológií vo verejnej správe vďaka platforme zdieľaných služieb“ vo výstupe: Podiel informačných systémov verejnej správy, ktoré využívajú štandardizov</w:t>
            </w:r>
            <w:r>
              <w:t>ané cloudové služby. </w:t>
            </w:r>
          </w:p>
          <w:p w:rsidR="00000000" w:rsidRDefault="00EB04A8">
            <w:pPr>
              <w:pStyle w:val="Normlnywebov"/>
            </w:pPr>
            <w:r>
              <w:rPr>
                <w:rStyle w:val="Zvraznenie"/>
              </w:rPr>
              <w:t>Tabulka 3.2  Prevádzkové náklady IS DCOM po zavedení DCOM+</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245"/>
              <w:gridCol w:w="1261"/>
              <w:gridCol w:w="1764"/>
            </w:tblGrid>
            <w:tr w:rsidR="00000000">
              <w:trPr>
                <w:divId w:val="839273954"/>
                <w:cantSplit/>
                <w:tblCellSpacing w:w="15" w:type="dxa"/>
              </w:trPr>
              <w:tc>
                <w:tcPr>
                  <w:tcW w:w="0" w:type="auto"/>
                  <w:vAlign w:val="center"/>
                  <w:hideMark/>
                </w:tcPr>
                <w:p w:rsidR="00000000" w:rsidRDefault="00EB04A8">
                  <w:pPr>
                    <w:pStyle w:val="Normlnywebov"/>
                  </w:pPr>
                  <w:r>
                    <w:rPr>
                      <w:rStyle w:val="Siln"/>
                    </w:rPr>
                    <w:t>Ukazovateľ   2</w:t>
                  </w:r>
                </w:p>
              </w:tc>
              <w:tc>
                <w:tcPr>
                  <w:tcW w:w="0" w:type="auto"/>
                  <w:vAlign w:val="center"/>
                  <w:hideMark/>
                </w:tcPr>
                <w:p w:rsidR="00000000" w:rsidRDefault="00EB04A8">
                  <w:pPr>
                    <w:pStyle w:val="Normlnywebov"/>
                    <w:jc w:val="center"/>
                  </w:pPr>
                  <w:r>
                    <w:rPr>
                      <w:rStyle w:val="Siln"/>
                    </w:rPr>
                    <w:t>Východisko</w:t>
                  </w:r>
                </w:p>
              </w:tc>
              <w:tc>
                <w:tcPr>
                  <w:tcW w:w="0" w:type="auto"/>
                  <w:vAlign w:val="center"/>
                  <w:hideMark/>
                </w:tcPr>
                <w:p w:rsidR="00000000" w:rsidRDefault="00EB04A8">
                  <w:pPr>
                    <w:pStyle w:val="Normlnywebov"/>
                    <w:jc w:val="center"/>
                  </w:pPr>
                  <w:r>
                    <w:rPr>
                      <w:rStyle w:val="Siln"/>
                    </w:rPr>
                    <w:t>Cieľová hodnota</w:t>
                  </w:r>
                </w:p>
              </w:tc>
            </w:tr>
            <w:tr w:rsidR="00000000">
              <w:trPr>
                <w:divId w:val="839273954"/>
                <w:cantSplit/>
                <w:tblCellSpacing w:w="15" w:type="dxa"/>
              </w:trPr>
              <w:tc>
                <w:tcPr>
                  <w:tcW w:w="0" w:type="auto"/>
                  <w:vAlign w:val="center"/>
                  <w:hideMark/>
                </w:tcPr>
                <w:p w:rsidR="00000000" w:rsidRDefault="00EB04A8">
                  <w:pPr>
                    <w:pStyle w:val="Normlnywebov"/>
                  </w:pPr>
                  <w:r>
                    <w:t>Úspora prevádzkových nákladov IS DCOM na jedného obyvateľa</w:t>
                  </w:r>
                </w:p>
              </w:tc>
              <w:tc>
                <w:tcPr>
                  <w:tcW w:w="0" w:type="auto"/>
                  <w:vAlign w:val="center"/>
                  <w:hideMark/>
                </w:tcPr>
                <w:p w:rsidR="00000000" w:rsidRDefault="00EB04A8">
                  <w:pPr>
                    <w:pStyle w:val="Normlnywebov"/>
                    <w:jc w:val="center"/>
                  </w:pPr>
                  <w:r>
                    <w:t>100 %</w:t>
                  </w:r>
                </w:p>
              </w:tc>
              <w:tc>
                <w:tcPr>
                  <w:tcW w:w="0" w:type="auto"/>
                  <w:vAlign w:val="center"/>
                  <w:hideMark/>
                </w:tcPr>
                <w:p w:rsidR="00000000" w:rsidRDefault="00EB04A8">
                  <w:pPr>
                    <w:pStyle w:val="Normlnywebov"/>
                    <w:jc w:val="center"/>
                  </w:pPr>
                  <w:r>
                    <w:t>90 %</w:t>
                  </w:r>
                </w:p>
              </w:tc>
            </w:tr>
          </w:tbl>
          <w:p w:rsidR="00000000" w:rsidRDefault="00EB04A8">
            <w:pPr>
              <w:pStyle w:val="Normlnywebov"/>
            </w:pPr>
            <w:r>
              <w:t> KPI 10 percentnej úspory prevádzky IS DCOM po nasadení proje</w:t>
            </w:r>
            <w:r>
              <w:t>ktu DCOM+ je prepočítané z pohľadu nákladov na jedného obyvateľa.  </w:t>
            </w:r>
          </w:p>
          <w:p w:rsidR="00000000" w:rsidRDefault="00EB04A8">
            <w:pPr>
              <w:pStyle w:val="Normlnywebov"/>
            </w:pPr>
            <w:r>
              <w:t>Prevádzka IS DCOM je z pohľadu jej nákladov voči vynaloženým prostriedkom efektívna a pri porovnaní s bežnou praxou iných IS je na hranici únosnosti, čo je tiež potrebné vziať do úvahy pri</w:t>
            </w:r>
            <w:r>
              <w:t xml:space="preserve"> napĺňaní 10% úspory v prevádzke.</w:t>
            </w:r>
          </w:p>
          <w:p w:rsidR="00000000" w:rsidRDefault="00EB04A8">
            <w:pPr>
              <w:pStyle w:val="Normlnywebov"/>
            </w:pPr>
            <w:r>
              <w:t>Výška úspory v prevádzke je zároveň závislá na rozsahu nových nárokov v oblasti informatizácie verejnej správy, nakoľko ovplyvňujú prevádzku ISVS.</w:t>
            </w:r>
          </w:p>
          <w:p w:rsidR="00000000" w:rsidRDefault="00EB04A8">
            <w:pPr>
              <w:pStyle w:val="Normlnywebov"/>
            </w:pPr>
            <w:r>
              <w:t>Týmto KPI projektu sa zároveň napĺňa aj KPI z NKIVS 3.1.5 „Optimalizácia vy</w:t>
            </w:r>
            <w:r>
              <w:t>užitia informačných technológií vo verejnej správe vďaka platforme zdieľaných služieb“ vo výstupe: Obstarávacie a prevádzkové náklady ISVS (ukazovateľ vyjadruje percentuálnu zmenu ročných nákladov povinných osôb na prevádzku ISVS. Cloud bude poskytovať slu</w:t>
            </w:r>
            <w:r>
              <w:t>žbu pre monitorovanie prevádzkových nákladov).</w:t>
            </w:r>
          </w:p>
        </w:tc>
      </w:tr>
      <w:tr w:rsidR="00000000">
        <w:trPr>
          <w:divId w:val="1121730344"/>
          <w:cantSplit/>
          <w:tblCellSpacing w:w="15" w:type="dxa"/>
        </w:trPr>
        <w:tc>
          <w:tcPr>
            <w:tcW w:w="0" w:type="auto"/>
            <w:gridSpan w:val="2"/>
            <w:vAlign w:val="center"/>
            <w:hideMark/>
          </w:tcPr>
          <w:p w:rsidR="00000000" w:rsidRDefault="00EB04A8">
            <w:pPr>
              <w:pStyle w:val="Normlnywebov"/>
            </w:pPr>
            <w:r>
              <w:t>Obrázok 5 Stakeholderi projektu DCOM:</w:t>
            </w:r>
          </w:p>
          <w:p w:rsidR="00000000" w:rsidRDefault="00EB04A8">
            <w:pPr>
              <w:pStyle w:val="Normlnywebov"/>
            </w:pPr>
            <w:r>
              <w:rPr>
                <w:noProof/>
              </w:rPr>
              <w:drawing>
                <wp:inline distT="0" distB="0" distL="0" distR="0">
                  <wp:extent cx="3543300" cy="2133600"/>
                  <wp:effectExtent l="0" t="0" r="0" b="0"/>
                  <wp:docPr id="5" name="Obrázok 5" descr="C:\48face635e7d1b4d6a43958f5f8eec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48face635e7d1b4d6a43958f5f8eecc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543300" cy="2133600"/>
                          </a:xfrm>
                          <a:prstGeom prst="rect">
                            <a:avLst/>
                          </a:prstGeom>
                          <a:noFill/>
                          <a:ln>
                            <a:noFill/>
                          </a:ln>
                        </pic:spPr>
                      </pic:pic>
                    </a:graphicData>
                  </a:graphic>
                </wp:inline>
              </w:drawing>
            </w:r>
          </w:p>
          <w:p w:rsidR="00000000" w:rsidRDefault="00EB04A8">
            <w:pPr>
              <w:pStyle w:val="Normlnywebov"/>
            </w:pPr>
            <w:r>
              <w:t> </w:t>
            </w:r>
          </w:p>
          <w:p w:rsidR="00000000" w:rsidRDefault="00EB04A8">
            <w:pPr>
              <w:pStyle w:val="Normlnywebov"/>
            </w:pPr>
            <w:r>
              <w:t>Menšie mestá a obce nedisponujú potrebnými odbornými ani projektovými kapacitami, ktoré sú pre individuálne riešenie elektronizácie služieb potreb</w:t>
            </w:r>
            <w:r>
              <w:t>né, preto DCOM je pre nich veľmi pohodlným riešením, ktoré im umožní poskytovať verejností plný rozsah</w:t>
            </w:r>
            <w:r>
              <w:t xml:space="preserve"> </w:t>
            </w:r>
            <w:r>
              <w:rPr>
                <w:rStyle w:val="inline-comment-marker"/>
              </w:rPr>
              <w:t>13</w:t>
            </w:r>
            <w:r>
              <w:rPr>
                <w:rStyle w:val="inline-comment-marker"/>
              </w:rPr>
              <w:t>9</w:t>
            </w:r>
            <w:r>
              <w:t xml:space="preserve"> eSlužieb zodpovedajúcich rozsahu originálnych kompetencií MÚS.</w:t>
            </w:r>
          </w:p>
          <w:p w:rsidR="00000000" w:rsidRDefault="00EB04A8">
            <w:pPr>
              <w:pStyle w:val="Normlnywebov"/>
            </w:pPr>
            <w:r>
              <w:t xml:space="preserve">Prínosom projektu DCOM+, ako ukazuje aj CBA, je významné zníženie nákladov na TCO pre </w:t>
            </w:r>
            <w:r>
              <w:t>obce a mestá, ktoré sa zmigrujú do vládneho cloudu a riešenia IS DCOM, pričom všetky zapojené obce a mestá budú mať k dispozícii plnú funkcionalitu eSlužieb pre originálne kompetencie samosprávy, ktorá bola vytvorená v rámci projektu DCOM.</w:t>
            </w:r>
          </w:p>
          <w:p w:rsidR="00000000" w:rsidRDefault="00EB04A8">
            <w:pPr>
              <w:pStyle w:val="Normlnywebov"/>
            </w:pPr>
            <w:r>
              <w:t>Z hľadiska zabez</w:t>
            </w:r>
            <w:r>
              <w:t>pečenia zapojenia obcí a miest do projektu je potrebné v harmonograme definovať ako nevyhnutnú aktivitu komunikáciu s potenciálnymi klientami o výhodnosti pripojenia do projektu DCOM. Ďalej bude potrebné zabezpečenie garancie dostupnosti zdrojov od prijíma</w:t>
            </w:r>
            <w:r>
              <w:t>teľov benefitu (obce a mestá).</w:t>
            </w:r>
          </w:p>
          <w:p w:rsidR="00000000" w:rsidRDefault="00EB04A8">
            <w:pPr>
              <w:pStyle w:val="Normlnywebov"/>
            </w:pPr>
            <w:r>
              <w:t>Hlavné záujmy a ciele stakeholderov v súvislosti s implementáciou projektu sú nasledovné:</w:t>
            </w:r>
          </w:p>
          <w:p w:rsidR="00000000" w:rsidRDefault="00EB04A8">
            <w:pPr>
              <w:pStyle w:val="Normlnywebov"/>
            </w:pPr>
            <w:r>
              <w:rPr>
                <w:rStyle w:val="Siln"/>
              </w:rPr>
              <w:t>Verejnosť</w:t>
            </w:r>
          </w:p>
          <w:p w:rsidR="00000000" w:rsidRDefault="00EB04A8">
            <w:pPr>
              <w:pStyle w:val="Normlnywebov"/>
            </w:pPr>
            <w:r>
              <w:t>Občania a podnikatelia očakávajú možnosť využívania elektronických služieb od všetkých obcí a miest. Súvisí to predovšetkým s</w:t>
            </w:r>
            <w:r>
              <w:t> aktiváciou elektronických schránok pre viac než 240 tis. právnických osôb zapísaných v obchodnom registri SR, od 1.7.2017. Keďže aktivácia je automatická je potrebné aj na strane obcí a miest zabezpečiť, aby občania a podnikatelia mali možnosť občianske p</w:t>
            </w:r>
            <w:r>
              <w:t>reukazy s čipom a aktivované elektronické schránky aj prakticky využiť pri komunikácii s obcami.</w:t>
            </w:r>
          </w:p>
          <w:p w:rsidR="00000000" w:rsidRDefault="00EB04A8">
            <w:pPr>
              <w:pStyle w:val="Normlnywebov"/>
            </w:pPr>
            <w:r>
              <w:rPr>
                <w:rStyle w:val="Siln"/>
              </w:rPr>
              <w:t>Obce a mestá (samospráva)</w:t>
            </w:r>
          </w:p>
          <w:p w:rsidR="00000000" w:rsidRDefault="00EB04A8">
            <w:pPr>
              <w:pStyle w:val="Normlnywebov"/>
            </w:pPr>
            <w:r>
              <w:t>Vzhľadom na povinnosti orgánov MÚS, vykonávať verejnú moc elektronicky, a zároveň na už vytvorené a dostupné riešenie IS DCOM, je pri</w:t>
            </w:r>
            <w:r>
              <w:t>pájanie ďalších obcí a miest najefektívnejším riešením pre všetky zainteresované strany.</w:t>
            </w:r>
          </w:p>
          <w:p w:rsidR="00000000" w:rsidRDefault="00EB04A8">
            <w:pPr>
              <w:pStyle w:val="Normlnywebov"/>
            </w:pPr>
            <w:r>
              <w:t>Dôležitým aspektom je nevyhnutnosť dodržiavať zákonom stanovený princíp „jedenkrát a dosť“, ktorý bez infraštruktúry integrovanej na centrálne komponenty (centrálne re</w:t>
            </w:r>
            <w:r>
              <w:t>gistre) eGovernmentu nie je možné dosiahnuť, rovnako ako nie je možné dosiahnuť ani vyššiu efektivitu práce a tým aj nižšie náklady na činnosti.</w:t>
            </w:r>
          </w:p>
          <w:p w:rsidR="00000000" w:rsidRDefault="00EB04A8">
            <w:pPr>
              <w:pStyle w:val="Normlnywebov"/>
            </w:pPr>
            <w:r>
              <w:t>Využitie už funkčného projektu IS DCOM pre zatiaľ nezapojené obce a mestá, v rámci projektu DCOM+, umožní obcia</w:t>
            </w:r>
            <w:r>
              <w:t>m a mestám, v rámci ich obmedzených rozpočtov, efektívnejšie využitie finančných zdrojov na nové technológie. DCOM+ poskytne MÚS najmodernejšie softvérové riešenia, na báze konceptu „softvér ako služba” (anglicky Software as a Service (SaaS)), ktoré umožní</w:t>
            </w:r>
            <w:r>
              <w:t xml:space="preserve"> používať softvérové aplikácie bez potreby lokálnej inštalácie špecializovaného softvéru.</w:t>
            </w:r>
          </w:p>
          <w:p w:rsidR="00000000" w:rsidRDefault="00EB04A8">
            <w:pPr>
              <w:pStyle w:val="Normlnywebov"/>
            </w:pPr>
            <w:r>
              <w:rPr>
                <w:rStyle w:val="Siln"/>
              </w:rPr>
              <w:t>MF SR</w:t>
            </w:r>
          </w:p>
          <w:p w:rsidR="00000000" w:rsidRDefault="00EB04A8">
            <w:pPr>
              <w:pStyle w:val="Normlnywebov"/>
            </w:pPr>
            <w:r>
              <w:t>MF SR ako jeden zo zakladajúcich členov združenia DEUS očakáva, že už existujúce riešenie IS DCOM, ako centrálne riešenie pre MÚS, bude práve prostredníctvom pr</w:t>
            </w:r>
            <w:r>
              <w:t>ojektu DCOM+ rozšírené na maximálne možné množstvo obcí a miest, a to najmä z dôvodu, zvýšenia efektivity pri využívaní verejných zdrojov.</w:t>
            </w:r>
          </w:p>
          <w:p w:rsidR="00000000" w:rsidRDefault="00EB04A8">
            <w:pPr>
              <w:pStyle w:val="Normlnywebov"/>
            </w:pPr>
            <w:r>
              <w:rPr>
                <w:rStyle w:val="Siln"/>
              </w:rPr>
              <w:t>MV SR</w:t>
            </w:r>
          </w:p>
          <w:p w:rsidR="00000000" w:rsidRDefault="00EB04A8">
            <w:pPr>
              <w:pStyle w:val="Normlnywebov"/>
            </w:pPr>
            <w:r>
              <w:t>MV SR je prevádzkovateľom vládneho cloudu. IS MV SR poskytujú IS DCOM vďaka integrovaným eSlužbám údaje zo zákl</w:t>
            </w:r>
            <w:r>
              <w:t>adných registrov verejnej správy, ktoré sú platnými zdrojmi údajov o fyzických osobách (register fyzických osôb, register adries a podobne). Zároveň sú zamestnanci obcí a miest osobami, ktoré tieto údaje do základných registrov verejnej správy zapisujú (na</w:t>
            </w:r>
            <w:r>
              <w:t>pr. matričné veci).</w:t>
            </w:r>
          </w:p>
          <w:p w:rsidR="00000000" w:rsidRDefault="00EB04A8">
            <w:pPr>
              <w:pStyle w:val="Normlnywebov"/>
            </w:pPr>
            <w:r>
              <w:rPr>
                <w:rStyle w:val="Siln"/>
              </w:rPr>
              <w:t>ÚPPVII</w:t>
            </w:r>
          </w:p>
          <w:p w:rsidR="00000000" w:rsidRDefault="00EB04A8">
            <w:pPr>
              <w:pStyle w:val="Normlnywebov"/>
            </w:pPr>
            <w:r>
              <w:t>ÚPPVII je ústredným orgánom štátnej správy pre úsek správy informatizácie spoločnosti a tak je možné predpokladať, že najmä ÚPPVII bude dbať o to, aby všetky mestá a obce, boli schopné plniť povinnosti podľa zákona o eGovernemnte</w:t>
            </w:r>
            <w:r>
              <w:t xml:space="preserve"> a poskytovať občanom a podnikateľom efektívne elektronické služby.</w:t>
            </w:r>
          </w:p>
          <w:p w:rsidR="00000000" w:rsidRDefault="00EB04A8">
            <w:pPr>
              <w:pStyle w:val="Normlnywebov"/>
            </w:pPr>
            <w:r>
              <w:rPr>
                <w:rStyle w:val="Siln"/>
              </w:rPr>
              <w:t>ZMOS</w:t>
            </w:r>
          </w:p>
          <w:p w:rsidR="00000000" w:rsidRDefault="00EB04A8">
            <w:pPr>
              <w:pStyle w:val="Normlnywebov"/>
            </w:pPr>
            <w:r>
              <w:t>Primárnym cieľom ZMOS je presadzovanie záujmov miestnej územnej samosprávy. V tomto zmysle je hlavným cieľom ZMOS, čo najväčšie využívanie IS DCOM samosprávami, tak aby poskytovali mo</w:t>
            </w:r>
            <w:r>
              <w:t xml:space="preserve">derné služby verejnosti a dosiahli čo najefektívnejšie využitie finančných prostriedkov, ktorými MÚS disponuje, ale zároveň, aby DCOM naďalej slúžil ako príklad pre cloudové riešenia v oblasti MÚS a rovnako aj inšpirácia pre iné OVM s cieľom ich zapojenia </w:t>
            </w:r>
            <w:r>
              <w:t>do eGovernment cloudu.</w:t>
            </w:r>
          </w:p>
          <w:p w:rsidR="00000000" w:rsidRDefault="00EB04A8">
            <w:pPr>
              <w:pStyle w:val="Normlnywebov"/>
            </w:pPr>
            <w:r>
              <w:rPr>
                <w:rStyle w:val="Siln"/>
              </w:rPr>
              <w:t>DEUS</w:t>
            </w:r>
          </w:p>
          <w:p w:rsidR="00000000" w:rsidRDefault="00EB04A8">
            <w:pPr>
              <w:pStyle w:val="Normlnywebov"/>
            </w:pPr>
            <w:r>
              <w:t>DEUS, ako záujmové združenie právnických osôb, založené MF SR a ZMOS, od projektu DCOM+ očakáva zabezpečenie plošného rozšírenia služieb poskytovaných IS DCOM na rozhodujúcu časť MÚS.</w:t>
            </w:r>
          </w:p>
          <w:p w:rsidR="00000000" w:rsidRDefault="00EB04A8">
            <w:pPr>
              <w:pStyle w:val="Normlnywebov"/>
            </w:pPr>
            <w:r>
              <w:rPr>
                <w:rStyle w:val="Siln"/>
              </w:rPr>
              <w:t>Ostatné orgány štátnej správy</w:t>
            </w:r>
          </w:p>
          <w:p w:rsidR="00000000" w:rsidRDefault="00EB04A8">
            <w:pPr>
              <w:pStyle w:val="Normlnywebov"/>
            </w:pPr>
            <w:r>
              <w:t>DEUS, vďaka sv</w:t>
            </w:r>
            <w:r>
              <w:t>ojmu projektu DCOM, predstavuje strategického partnera štátnej správy v oblasti informatizácie MÚS. Implementácia tohto projektu, je aj pre orgány štátnej správy dôležitá v tom zmysle, že integrácia IS štátnej správy na samostatné riešenia obcí by bolo čas</w:t>
            </w:r>
            <w:r>
              <w:t>ovo aj nákladovo neefektívna. Informačné systémy a aplikácie projektu DCOM sú plne integrované na spoločné moduly ústredného portálu verejnej správy (ÚPVS), vybranými registrami a inštitúciami (napr. RFO, RPO, KN, ÚPSVaR, Sociálna poisťovňa a iné), a ďalší</w:t>
            </w:r>
            <w:r>
              <w:t>mi informačnými systémami verejnej správy (ISVS). To znamená, že stačí zapojiť/zmigrovať ďalšie obce a mestá do DCOM, namiesto náročnej integrácie samostatných riešení obcí a miest s inými ISVS.</w:t>
            </w:r>
          </w:p>
        </w:tc>
      </w:tr>
      <w:tr w:rsidR="00000000">
        <w:trPr>
          <w:divId w:val="1121730344"/>
          <w:cantSplit/>
          <w:tblCellSpacing w:w="15" w:type="dxa"/>
        </w:trPr>
        <w:tc>
          <w:tcPr>
            <w:tcW w:w="0" w:type="auto"/>
            <w:gridSpan w:val="2"/>
            <w:vAlign w:val="center"/>
            <w:hideMark/>
          </w:tcPr>
          <w:p w:rsidR="00000000" w:rsidRDefault="00EB04A8">
            <w:pPr>
              <w:pStyle w:val="Normlnywebov"/>
            </w:pPr>
            <w:r>
              <w:t> </w:t>
            </w:r>
          </w:p>
        </w:tc>
      </w:tr>
      <w:tr w:rsidR="00000000">
        <w:trPr>
          <w:divId w:val="1121730344"/>
          <w:cantSplit/>
          <w:tblCellSpacing w:w="15" w:type="dxa"/>
        </w:trPr>
        <w:tc>
          <w:tcPr>
            <w:tcW w:w="0" w:type="auto"/>
            <w:vAlign w:val="center"/>
            <w:hideMark/>
          </w:tcPr>
          <w:p w:rsidR="00000000" w:rsidRDefault="00EB04A8">
            <w:pPr>
              <w:pStyle w:val="Normlnywebov"/>
            </w:pPr>
            <w:r>
              <w:rPr>
                <w:rStyle w:val="Siln"/>
              </w:rPr>
              <w:t>Riziká</w:t>
            </w:r>
          </w:p>
        </w:tc>
        <w:tc>
          <w:tcPr>
            <w:tcW w:w="0" w:type="auto"/>
            <w:vAlign w:val="center"/>
            <w:hideMark/>
          </w:tcPr>
          <w:p w:rsidR="00000000" w:rsidRDefault="00EB04A8">
            <w:pPr>
              <w:pStyle w:val="Normlnywebov"/>
            </w:pPr>
            <w:r>
              <w:rPr>
                <w:rStyle w:val="Siln"/>
              </w:rPr>
              <w:t>Spresnenie identifikovaných rizík:</w:t>
            </w:r>
            <w:r>
              <w:t xml:space="preserve"> </w:t>
            </w:r>
            <w:r>
              <w:rPr>
                <w:rStyle w:val="Zvraznenie"/>
              </w:rPr>
              <w:t>Odkazy na relevantné identifikátory rizík v prílohe Riziká.</w:t>
            </w:r>
          </w:p>
        </w:tc>
      </w:tr>
      <w:tr w:rsidR="00000000">
        <w:trPr>
          <w:divId w:val="1121730344"/>
          <w:cantSplit/>
          <w:tblCellSpacing w:w="15" w:type="dxa"/>
        </w:trPr>
        <w:tc>
          <w:tcPr>
            <w:tcW w:w="0" w:type="auto"/>
            <w:gridSpan w:val="2"/>
            <w:vAlign w:val="center"/>
            <w:hideMark/>
          </w:tcPr>
          <w:p w:rsidR="00000000" w:rsidRDefault="00EB04A8">
            <w:pPr>
              <w:pStyle w:val="Normlnywebov"/>
            </w:pPr>
            <w:r>
              <w:t xml:space="preserve">R01 - </w:t>
            </w:r>
            <w:bookmarkStart w:id="1" w:name="_Toc446408298"/>
            <w:bookmarkEnd w:id="1"/>
            <w:r>
              <w:rPr>
                <w:color w:val="000000"/>
              </w:rPr>
              <w:t>Napriek prejavenému záujmu sa obce a mestá do projektu DCOM nezapoja</w:t>
            </w:r>
            <w:r>
              <w:t>.</w:t>
            </w:r>
          </w:p>
          <w:p w:rsidR="00000000" w:rsidRDefault="00EB04A8">
            <w:pPr>
              <w:pStyle w:val="Normlnywebov"/>
            </w:pPr>
            <w:r>
              <w:t>R02 - Nebudú dostupné finančné zdroje na spolufinancovanie, alebo na prevádzku. </w:t>
            </w:r>
          </w:p>
        </w:tc>
      </w:tr>
      <w:tr w:rsidR="00000000">
        <w:trPr>
          <w:divId w:val="1121730344"/>
          <w:cantSplit/>
          <w:tblCellSpacing w:w="15" w:type="dxa"/>
        </w:trPr>
        <w:tc>
          <w:tcPr>
            <w:tcW w:w="0" w:type="auto"/>
            <w:vAlign w:val="center"/>
            <w:hideMark/>
          </w:tcPr>
          <w:p w:rsidR="00000000" w:rsidRDefault="00EB04A8">
            <w:pPr>
              <w:pStyle w:val="Normlnywebov"/>
            </w:pPr>
            <w:r>
              <w:rPr>
                <w:rStyle w:val="Siln"/>
              </w:rPr>
              <w:t>Prílohy</w:t>
            </w:r>
          </w:p>
        </w:tc>
        <w:tc>
          <w:tcPr>
            <w:tcW w:w="0" w:type="auto"/>
            <w:vAlign w:val="center"/>
            <w:hideMark/>
          </w:tcPr>
          <w:p w:rsidR="00000000" w:rsidRDefault="00EB04A8">
            <w:pPr>
              <w:pStyle w:val="Normlnywebov"/>
            </w:pPr>
            <w:r>
              <w:rPr>
                <w:rStyle w:val="Siln"/>
              </w:rPr>
              <w:t>Diagramy, modely, obrázky v </w:t>
            </w:r>
            <w:r>
              <w:rPr>
                <w:rStyle w:val="Siln"/>
              </w:rPr>
              <w:t>plnom rozlíšení</w:t>
            </w:r>
          </w:p>
        </w:tc>
      </w:tr>
      <w:tr w:rsidR="00000000">
        <w:trPr>
          <w:divId w:val="1121730344"/>
          <w:cantSplit/>
          <w:tblCellSpacing w:w="15" w:type="dxa"/>
        </w:trPr>
        <w:tc>
          <w:tcPr>
            <w:tcW w:w="0" w:type="auto"/>
            <w:vAlign w:val="center"/>
            <w:hideMark/>
          </w:tcPr>
          <w:p w:rsidR="00000000" w:rsidRDefault="00EB04A8">
            <w:pPr>
              <w:pStyle w:val="Normlnywebov"/>
            </w:pPr>
            <w:r>
              <w:rPr>
                <w:rFonts w:ascii="Arial" w:hAnsi="Arial" w:cs="Arial"/>
                <w:sz w:val="21"/>
                <w:szCs w:val="21"/>
              </w:rPr>
              <w:t>Tabuľka 2 Riziká</w:t>
            </w:r>
            <w:r>
              <w:rPr>
                <w:rStyle w:val="Siln"/>
                <w:rFonts w:ascii="Arial" w:hAnsi="Arial" w:cs="Arial"/>
                <w:sz w:val="21"/>
                <w:szCs w:val="21"/>
              </w:rPr>
              <w:t> </w:t>
            </w:r>
          </w:p>
          <w:p w:rsidR="00000000" w:rsidRDefault="00EB04A8">
            <w:pPr>
              <w:pStyle w:val="Normlnywebov"/>
            </w:pPr>
            <w:r>
              <w:rPr>
                <w:rFonts w:ascii="Arial" w:hAnsi="Arial" w:cs="Arial"/>
                <w:sz w:val="21"/>
                <w:szCs w:val="21"/>
              </w:rPr>
              <w:t>Tabuľka 5 Zoznam zainteresovaných</w:t>
            </w:r>
            <w:r>
              <w:rPr>
                <w:rStyle w:val="Siln"/>
                <w:sz w:val="27"/>
                <w:szCs w:val="27"/>
              </w:rPr>
              <w:t> </w:t>
            </w:r>
          </w:p>
          <w:p w:rsidR="00000000" w:rsidRDefault="00EB04A8">
            <w:pPr>
              <w:pStyle w:val="Normlnywebov"/>
            </w:pPr>
            <w:r>
              <w:rPr>
                <w:rFonts w:ascii="Arial" w:hAnsi="Arial" w:cs="Arial"/>
                <w:sz w:val="21"/>
                <w:szCs w:val="21"/>
              </w:rPr>
              <w:t xml:space="preserve">Tabuľka 6 Zoznam cieľov </w:t>
            </w:r>
          </w:p>
          <w:p w:rsidR="00000000" w:rsidRDefault="00EB04A8">
            <w:pPr>
              <w:pStyle w:val="Normlnywebov"/>
            </w:pPr>
            <w:r>
              <w:rPr>
                <w:rFonts w:ascii="Arial" w:hAnsi="Arial" w:cs="Arial"/>
                <w:sz w:val="21"/>
                <w:szCs w:val="21"/>
              </w:rPr>
              <w:t>Tabuľka 7 Princípy a požiadavky</w:t>
            </w:r>
          </w:p>
        </w:tc>
        <w:tc>
          <w:tcPr>
            <w:tcW w:w="0" w:type="auto"/>
            <w:vAlign w:val="center"/>
            <w:hideMark/>
          </w:tcPr>
          <w:p w:rsidR="00000000" w:rsidRDefault="00EB04A8">
            <w:pPr>
              <w:pStyle w:val="Normlnywebov"/>
            </w:pPr>
            <w:r>
              <w:rPr>
                <w:rStyle w:val="Zvraznenie"/>
              </w:rPr>
              <w:t>Odkazy na relevantné súbory. Prílohy obsahujú informácie vo forme modelov.</w:t>
            </w:r>
          </w:p>
        </w:tc>
      </w:tr>
    </w:tbl>
    <w:p w:rsidR="00000000" w:rsidRDefault="00EB04A8">
      <w:pPr>
        <w:pStyle w:val="Nadpis2"/>
        <w:rPr>
          <w:rFonts w:eastAsia="Times New Roman"/>
        </w:rPr>
      </w:pPr>
      <w:r>
        <w:rPr>
          <w:rFonts w:eastAsia="Times New Roman"/>
        </w:rPr>
        <w:t>2.2. Popis aktuálneho stavu</w:t>
      </w:r>
    </w:p>
    <w:p w:rsidR="00000000" w:rsidRDefault="00EB04A8">
      <w:pPr>
        <w:pStyle w:val="Nadpis3"/>
        <w:rPr>
          <w:rFonts w:eastAsia="Times New Roman"/>
        </w:rPr>
      </w:pPr>
      <w:r>
        <w:rPr>
          <w:rFonts w:eastAsia="Times New Roman"/>
        </w:rPr>
        <w:t>2.2.1. Legislatíva</w:t>
      </w:r>
    </w:p>
    <w:p w:rsidR="00000000" w:rsidRDefault="00EB04A8">
      <w:pPr>
        <w:pStyle w:val="Normlnywebov"/>
      </w:pPr>
      <w:r>
        <w:rPr>
          <w:rStyle w:val="Zvraznenie"/>
        </w:rPr>
        <w:t>Tabuľka 4 Legislatíva – aktuálny stav</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2233"/>
        <w:gridCol w:w="7127"/>
      </w:tblGrid>
      <w:tr w:rsidR="00000000">
        <w:trPr>
          <w:divId w:val="1403603623"/>
          <w:cantSplit/>
          <w:tblCellSpacing w:w="15" w:type="dxa"/>
        </w:trPr>
        <w:tc>
          <w:tcPr>
            <w:tcW w:w="0" w:type="auto"/>
            <w:gridSpan w:val="2"/>
            <w:vAlign w:val="center"/>
            <w:hideMark/>
          </w:tcPr>
          <w:p w:rsidR="00000000" w:rsidRDefault="00EB04A8">
            <w:pPr>
              <w:pStyle w:val="Normlnywebov"/>
            </w:pPr>
            <w:r>
              <w:rPr>
                <w:rStyle w:val="Siln"/>
              </w:rPr>
              <w:t>Súhrnný popis</w:t>
            </w:r>
          </w:p>
        </w:tc>
      </w:tr>
      <w:tr w:rsidR="00000000">
        <w:trPr>
          <w:divId w:val="1403603623"/>
          <w:cantSplit/>
          <w:tblCellSpacing w:w="15" w:type="dxa"/>
        </w:trPr>
        <w:tc>
          <w:tcPr>
            <w:tcW w:w="0" w:type="auto"/>
            <w:gridSpan w:val="2"/>
            <w:vAlign w:val="center"/>
            <w:hideMark/>
          </w:tcPr>
          <w:p w:rsidR="00000000" w:rsidRDefault="00EB04A8">
            <w:pPr>
              <w:pStyle w:val="Normlnywebov"/>
            </w:pPr>
            <w:r>
              <w:t>Relevantná legislatíva je uvedená v prílohe č.1 tabuľka 4 Legislatíva.</w:t>
            </w:r>
          </w:p>
          <w:p w:rsidR="00000000" w:rsidRDefault="00EB04A8">
            <w:pPr>
              <w:pStyle w:val="Normlnywebov"/>
            </w:pPr>
            <w:r>
              <w:t>Legislatívny rámec pre poskytovanie služieb dátového centra obcí a miest je daný prijatím zákona o eGov 305/2013, pričom základné k</w:t>
            </w:r>
            <w:r>
              <w:t>ompetencie definuje zákon č. 575/2001 Z.z. o organizácii činnosti vlády a organizácii ústrednej štátnej správy v znení neskorších predpisov.</w:t>
            </w:r>
          </w:p>
          <w:p w:rsidR="00000000" w:rsidRDefault="00EB04A8">
            <w:pPr>
              <w:pStyle w:val="Normlnywebov"/>
            </w:pPr>
            <w:r>
              <w:rPr>
                <w:rStyle w:val="Zvraznenie"/>
              </w:rPr>
              <w:t>V rámci projektu DCOM boli vyriešené relevantné legislatívne aspekty a pre DCOM+ nie sú potrebné zmeny.  </w:t>
            </w:r>
          </w:p>
        </w:tc>
      </w:tr>
      <w:tr w:rsidR="00000000">
        <w:trPr>
          <w:divId w:val="1403603623"/>
          <w:cantSplit/>
          <w:tblCellSpacing w:w="15" w:type="dxa"/>
        </w:trPr>
        <w:tc>
          <w:tcPr>
            <w:tcW w:w="0" w:type="auto"/>
            <w:gridSpan w:val="2"/>
            <w:vAlign w:val="center"/>
            <w:hideMark/>
          </w:tcPr>
          <w:p w:rsidR="00000000" w:rsidRDefault="00EB04A8">
            <w:pPr>
              <w:pStyle w:val="Normlnywebov"/>
            </w:pPr>
            <w:r>
              <w:t>Legislatívne predpoklady projektu DCOM boli identifikované už v schválenej štúdii DCOM z decembra 2011 (výzva NP DCOM 13. decembra 2011), pre projekt bola uzatvorená zmluva o NFP a bola zrealizovaná. Identifikované legislatívne zmeny boli zrealizované.</w:t>
            </w:r>
          </w:p>
          <w:p w:rsidR="00000000" w:rsidRDefault="00EB04A8">
            <w:pPr>
              <w:pStyle w:val="Normlnywebov"/>
            </w:pPr>
            <w:r>
              <w:t>Pre</w:t>
            </w:r>
            <w:r>
              <w:t xml:space="preserve"> dosiahnutie čo najvyššej efektivity pri budovaní informačných systémov verejnej správy a k nim prislúchajúcej infraštruktúry štúdia pre Dátové centrum pre eGovernment odporučila prijatie legislatívneho rámca, ktorý zadefinuje povinnosť využívať Dátové cen</w:t>
            </w:r>
            <w:r>
              <w:t>trum ako platformu pre prevádzku informačných systémov s definovanými vlastnosťami (napr. požadovaná dostupnosť, citlivosť spracovávaných údajov a podobne).</w:t>
            </w:r>
          </w:p>
          <w:p w:rsidR="00000000" w:rsidRDefault="00EB04A8">
            <w:pPr>
              <w:pStyle w:val="Normlnywebov"/>
            </w:pPr>
            <w:r>
              <w:t>Na úrovni štátnej správy bol takýto normatívny právny akt prijatý 21. mája 2014 (Uznesenie vlády SR</w:t>
            </w:r>
            <w:r>
              <w:t xml:space="preserve"> číslo 247/2014), ktorým bol schválený „Návrh centralizácie a rozvoja dátových centier v štátnej správe“. Jeho cieľom je centralizovať množstvo dátových centier štátu do dvoch hlavných dátových centier - v pôsobnosti Ministerstva financií SR a Ministerstva</w:t>
            </w:r>
            <w:r>
              <w:t xml:space="preserve"> vnútra SR.</w:t>
            </w:r>
          </w:p>
          <w:p w:rsidR="00000000" w:rsidRDefault="00EB04A8">
            <w:pPr>
              <w:pStyle w:val="Normlnywebov"/>
            </w:pPr>
            <w:r>
              <w:t>Súčasná legislatíva vyžaduje, aby subjekty MÚS publikovali elektronické služby od 1.11.2016 - Zákon č. 305/2013 Z.z. o elektronickej podobe výkonu pôsobnosti orgánov verejnej moci a o zmene a doplnení niektorých zákonov (Zákon o e-Governmente).</w:t>
            </w:r>
            <w:r>
              <w:t xml:space="preserve"> Súčasne v § 9a Zákona dáva DataCentru elektronizácie územnej samosprávy Slovenska kompetenciu poskytovať obciam technické a programové prostriedky na výkon verejnej moci prostredníctvom nadrezortného IS VS, pričom obce/mestá majú v zmysle tohto zákona pov</w:t>
            </w:r>
            <w:r>
              <w:t>innosť ukladať údaje súvisiace s výkonom originálnych kompetencií v dátovom centre. </w:t>
            </w:r>
          </w:p>
        </w:tc>
      </w:tr>
      <w:tr w:rsidR="00000000">
        <w:trPr>
          <w:divId w:val="1403603623"/>
          <w:cantSplit/>
          <w:tblCellSpacing w:w="15" w:type="dxa"/>
        </w:trPr>
        <w:tc>
          <w:tcPr>
            <w:tcW w:w="0" w:type="auto"/>
            <w:vAlign w:val="center"/>
            <w:hideMark/>
          </w:tcPr>
          <w:p w:rsidR="00000000" w:rsidRDefault="00EB04A8">
            <w:pPr>
              <w:pStyle w:val="Normlnywebov"/>
            </w:pPr>
            <w:r>
              <w:rPr>
                <w:rStyle w:val="Siln"/>
              </w:rPr>
              <w:t>Riziká</w:t>
            </w:r>
          </w:p>
        </w:tc>
        <w:tc>
          <w:tcPr>
            <w:tcW w:w="0" w:type="auto"/>
            <w:vAlign w:val="center"/>
            <w:hideMark/>
          </w:tcPr>
          <w:p w:rsidR="00000000" w:rsidRDefault="00EB04A8">
            <w:pPr>
              <w:pStyle w:val="Normlnywebov"/>
            </w:pPr>
            <w:r>
              <w:rPr>
                <w:rStyle w:val="Siln"/>
              </w:rPr>
              <w:t>Spresnenie identifikovaných rizík:</w:t>
            </w:r>
            <w:r>
              <w:t xml:space="preserve"> </w:t>
            </w:r>
            <w:r>
              <w:rPr>
                <w:rStyle w:val="Zvraznenie"/>
              </w:rPr>
              <w:t>Odkazy na relevantné identifikátory rizík v prílohe Riziká.</w:t>
            </w:r>
          </w:p>
        </w:tc>
      </w:tr>
      <w:tr w:rsidR="00000000">
        <w:trPr>
          <w:divId w:val="1403603623"/>
          <w:cantSplit/>
          <w:tblCellSpacing w:w="15" w:type="dxa"/>
        </w:trPr>
        <w:tc>
          <w:tcPr>
            <w:tcW w:w="0" w:type="auto"/>
            <w:gridSpan w:val="2"/>
            <w:vAlign w:val="center"/>
            <w:hideMark/>
          </w:tcPr>
          <w:p w:rsidR="00000000" w:rsidRDefault="00EB04A8">
            <w:pPr>
              <w:pStyle w:val="Normlnywebov"/>
            </w:pPr>
            <w:r>
              <w:t>R 03 -  </w:t>
            </w:r>
            <w:r>
              <w:t>Niektoré subjekty samosprávy nestihnú publikovať elektronické služby v zákonom stanovenej lehote.</w:t>
            </w:r>
          </w:p>
        </w:tc>
      </w:tr>
      <w:tr w:rsidR="00000000">
        <w:trPr>
          <w:divId w:val="1403603623"/>
          <w:cantSplit/>
          <w:tblCellSpacing w:w="15" w:type="dxa"/>
        </w:trPr>
        <w:tc>
          <w:tcPr>
            <w:tcW w:w="0" w:type="auto"/>
            <w:vAlign w:val="center"/>
            <w:hideMark/>
          </w:tcPr>
          <w:p w:rsidR="00000000" w:rsidRDefault="00EB04A8">
            <w:pPr>
              <w:pStyle w:val="Normlnywebov"/>
            </w:pPr>
            <w:r>
              <w:rPr>
                <w:rStyle w:val="Siln"/>
              </w:rPr>
              <w:t>Prílohy</w:t>
            </w:r>
          </w:p>
        </w:tc>
        <w:tc>
          <w:tcPr>
            <w:tcW w:w="0" w:type="auto"/>
            <w:vAlign w:val="center"/>
            <w:hideMark/>
          </w:tcPr>
          <w:p w:rsidR="00000000" w:rsidRDefault="00EB04A8">
            <w:pPr>
              <w:pStyle w:val="Normlnywebov"/>
            </w:pPr>
            <w:r>
              <w:rPr>
                <w:rStyle w:val="Siln"/>
              </w:rPr>
              <w:t>Diagramy, modely, obrázky v plnom rozlíšení</w:t>
            </w:r>
          </w:p>
        </w:tc>
      </w:tr>
      <w:tr w:rsidR="00000000">
        <w:trPr>
          <w:divId w:val="1403603623"/>
          <w:cantSplit/>
          <w:tblCellSpacing w:w="15" w:type="dxa"/>
        </w:trPr>
        <w:tc>
          <w:tcPr>
            <w:tcW w:w="0" w:type="auto"/>
            <w:vAlign w:val="center"/>
            <w:hideMark/>
          </w:tcPr>
          <w:p w:rsidR="00000000" w:rsidRDefault="00EB04A8">
            <w:pPr>
              <w:pStyle w:val="Normlnywebov"/>
            </w:pPr>
            <w:r>
              <w:t>Tabuľka 2 Riziká</w:t>
            </w:r>
          </w:p>
          <w:p w:rsidR="00000000" w:rsidRDefault="00EB04A8">
            <w:pPr>
              <w:pStyle w:val="Normlnywebov"/>
            </w:pPr>
            <w:r>
              <w:rPr>
                <w:rStyle w:val="Zvraznenie"/>
              </w:rPr>
              <w:t>Tabuľka 4 Legislatíva</w:t>
            </w:r>
          </w:p>
        </w:tc>
        <w:tc>
          <w:tcPr>
            <w:tcW w:w="0" w:type="auto"/>
            <w:vAlign w:val="center"/>
            <w:hideMark/>
          </w:tcPr>
          <w:p w:rsidR="00000000" w:rsidRDefault="00EB04A8">
            <w:pPr>
              <w:pStyle w:val="Normlnywebov"/>
            </w:pPr>
            <w:r>
              <w:rPr>
                <w:rStyle w:val="Zvraznenie"/>
              </w:rPr>
              <w:t>Odkazy na relevantné súbory. Prílohy obsahujú informácie vo form</w:t>
            </w:r>
            <w:r>
              <w:rPr>
                <w:rStyle w:val="Zvraznenie"/>
              </w:rPr>
              <w:t>e modelov.</w:t>
            </w:r>
          </w:p>
        </w:tc>
      </w:tr>
    </w:tbl>
    <w:p w:rsidR="00000000" w:rsidRDefault="00EB04A8">
      <w:pPr>
        <w:pStyle w:val="Nadpis3"/>
        <w:rPr>
          <w:rFonts w:eastAsia="Times New Roman"/>
        </w:rPr>
      </w:pPr>
      <w:r>
        <w:rPr>
          <w:rFonts w:eastAsia="Times New Roman"/>
        </w:rPr>
        <w:t>2.2.2. Architektúra</w:t>
      </w:r>
    </w:p>
    <w:p w:rsidR="00000000" w:rsidRDefault="00EB04A8">
      <w:pPr>
        <w:pStyle w:val="Nadpis4"/>
        <w:rPr>
          <w:rFonts w:eastAsia="Times New Roman"/>
        </w:rPr>
      </w:pPr>
      <w:r>
        <w:rPr>
          <w:rStyle w:val="inline-comment-marker"/>
          <w:rFonts w:eastAsia="Times New Roman"/>
        </w:rPr>
        <w:t>Biznis architektúr</w:t>
      </w:r>
      <w:r>
        <w:rPr>
          <w:rStyle w:val="inline-comment-marker"/>
          <w:rFonts w:eastAsia="Times New Roman"/>
        </w:rPr>
        <w:t>a</w:t>
      </w:r>
    </w:p>
    <w:p w:rsidR="00000000" w:rsidRDefault="00EB04A8">
      <w:pPr>
        <w:pStyle w:val="Normlnywebov"/>
      </w:pPr>
      <w:r>
        <w:t> </w:t>
      </w:r>
    </w:p>
    <w:p w:rsidR="00000000" w:rsidRDefault="00EB04A8">
      <w:pPr>
        <w:pStyle w:val="Normlnywebov"/>
      </w:pPr>
      <w:r>
        <w:rPr>
          <w:rStyle w:val="Zvraznenie"/>
        </w:rPr>
        <w:t>Tabuľka 5 Biznis architektúra - aktuálny stav</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2974"/>
        <w:gridCol w:w="6386"/>
      </w:tblGrid>
      <w:tr w:rsidR="00000000">
        <w:trPr>
          <w:divId w:val="1912694239"/>
          <w:cantSplit/>
          <w:tblCellSpacing w:w="15" w:type="dxa"/>
        </w:trPr>
        <w:tc>
          <w:tcPr>
            <w:tcW w:w="0" w:type="auto"/>
            <w:gridSpan w:val="2"/>
            <w:vAlign w:val="center"/>
            <w:hideMark/>
          </w:tcPr>
          <w:p w:rsidR="00000000" w:rsidRDefault="00EB04A8">
            <w:pPr>
              <w:pStyle w:val="Normlnywebov"/>
            </w:pPr>
            <w:r>
              <w:rPr>
                <w:rStyle w:val="inline-comment-marker"/>
                <w:b/>
                <w:bCs/>
              </w:rPr>
              <w:t>Súhrnný popi</w:t>
            </w:r>
            <w:r>
              <w:rPr>
                <w:rStyle w:val="inline-comment-marker"/>
                <w:b/>
                <w:bCs/>
              </w:rPr>
              <w:t>s</w:t>
            </w:r>
          </w:p>
        </w:tc>
      </w:tr>
      <w:tr w:rsidR="00000000">
        <w:trPr>
          <w:divId w:val="1912694239"/>
          <w:cantSplit/>
          <w:tblCellSpacing w:w="15" w:type="dxa"/>
        </w:trPr>
        <w:tc>
          <w:tcPr>
            <w:tcW w:w="0" w:type="auto"/>
            <w:gridSpan w:val="2"/>
            <w:vAlign w:val="center"/>
            <w:hideMark/>
          </w:tcPr>
          <w:p w:rsidR="00000000" w:rsidRDefault="00EB04A8">
            <w:pPr>
              <w:pStyle w:val="Normlnywebov"/>
            </w:pPr>
            <w:r>
              <w:t>Obce a mestá, ktoré nie sú zapojené v DCOM si budujú svoj informačný systém samostatne. Ten sa skladá z viacerých komponentov:</w:t>
            </w:r>
          </w:p>
          <w:p w:rsidR="00000000" w:rsidRDefault="00EB04A8">
            <w:pPr>
              <w:pStyle w:val="Normlnywebov"/>
            </w:pPr>
            <w:r>
              <w:t>-        </w:t>
            </w:r>
            <w:r>
              <w:t>   Infraštruktúra, koncové zariadenia a kancelársky software,</w:t>
            </w:r>
          </w:p>
          <w:p w:rsidR="00000000" w:rsidRDefault="00EB04A8">
            <w:pPr>
              <w:pStyle w:val="Normlnywebov"/>
            </w:pPr>
            <w:r>
              <w:t>-           Aplikačno-programové vybavenie, ktoré pokrýva jednotlivé agendy obce,</w:t>
            </w:r>
          </w:p>
          <w:p w:rsidR="00000000" w:rsidRDefault="00EB04A8">
            <w:pPr>
              <w:pStyle w:val="Normlnywebov"/>
            </w:pPr>
            <w:r>
              <w:t>-           Hostované služby (napríklad e-mail, web obce a pod.),</w:t>
            </w:r>
          </w:p>
          <w:p w:rsidR="00000000" w:rsidRDefault="00EB04A8">
            <w:pPr>
              <w:pStyle w:val="Normlnywebov"/>
            </w:pPr>
            <w:r>
              <w:t>-           Prístupová infraštruktúra a prístu</w:t>
            </w:r>
            <w:r>
              <w:t>p na ÚPVS a k aplikáciám informačných systémov verejnej správy.</w:t>
            </w:r>
          </w:p>
          <w:p w:rsidR="00000000" w:rsidRDefault="00EB04A8">
            <w:pPr>
              <w:pStyle w:val="Normlnywebov"/>
            </w:pPr>
            <w:r>
              <w:t>Jednotlivé komponenty informačného systému obce pochádzajú od rôznych dodávateľov.</w:t>
            </w:r>
          </w:p>
          <w:p w:rsidR="00000000" w:rsidRDefault="00EB04A8">
            <w:pPr>
              <w:pStyle w:val="Normlnywebov"/>
            </w:pPr>
            <w:r>
              <w:t>Budovanie informačného systému obce (ďalej len ISO) v zodpovednosti obce  znamená, že obec si sama zabezpečuj</w:t>
            </w:r>
            <w:r>
              <w:t>e rolu systémového integrátora. Takáto obec sama následne nesie zodpovednosť za súlad IS s legislatívou a za informačnú bezpečnosť vlastného systému. S klesajúcim počtom obyvateľov obce sa vzhľadom na vysoké náklady výrazne znižuje možnosť zamestnať odborn</w:t>
            </w:r>
            <w:r>
              <w:t>íkov na informačné technológie. Výsledkom môže byť informačný systém obce, ktorý pozostáva z mnohých komponentov, ktoré nie sú vzájomne prepojené alebo majú len nízku mieru integrácie. To má negatívny dopad na efektivitu a komfort práce pracovníkov obce a </w:t>
            </w:r>
            <w:r>
              <w:t>obmedzenú úžitkovú hodnotu poskytovaných elektronických služieb občanom a podnikateľom. Prevádzku a podporu prevádzky poväčšine zabezpečuje prostredníctvom viacerých dodávateľov. V prípade problémov na rozhraní systémov nie je jasná zodpovednosť a bez cent</w:t>
            </w:r>
            <w:r>
              <w:t>rálnej podpory je náročné riešenie problémov vzniknutých v prevádzke.</w:t>
            </w:r>
          </w:p>
          <w:p w:rsidR="00000000" w:rsidRDefault="00EB04A8">
            <w:pPr>
              <w:pStyle w:val="Normlnywebov"/>
            </w:pPr>
            <w:r>
              <w:rPr>
                <w:rStyle w:val="Zvraznenie"/>
              </w:rPr>
              <w:t>Výnimku predstavujú väčšie mestá, ktoré si môžu dovoliť úmerne svojim možnostiam obstarať komplexné integrované riešenia od jedného dodávateľa, alebo s generálnym dodávateľom v </w:t>
            </w:r>
            <w:r>
              <w:rPr>
                <w:rStyle w:val="Zvraznenie"/>
              </w:rPr>
              <w:t>roli systémového integrátora. </w:t>
            </w:r>
          </w:p>
        </w:tc>
      </w:tr>
      <w:tr w:rsidR="00000000">
        <w:trPr>
          <w:divId w:val="1912694239"/>
          <w:cantSplit/>
          <w:tblCellSpacing w:w="15" w:type="dxa"/>
        </w:trPr>
        <w:tc>
          <w:tcPr>
            <w:tcW w:w="0" w:type="auto"/>
            <w:gridSpan w:val="2"/>
            <w:vAlign w:val="center"/>
            <w:hideMark/>
          </w:tcPr>
          <w:p w:rsidR="00000000" w:rsidRDefault="00EB04A8">
            <w:pPr>
              <w:pStyle w:val="Normlnywebov"/>
            </w:pPr>
            <w:r>
              <w:t> </w:t>
            </w:r>
          </w:p>
          <w:p w:rsidR="00000000" w:rsidRDefault="00EB04A8">
            <w:pPr>
              <w:pStyle w:val="Normlnywebov"/>
            </w:pPr>
            <w:r>
              <w:t> Obrázok 6 Aktuálny stav z pohľadu ISO</w:t>
            </w:r>
          </w:p>
        </w:tc>
      </w:tr>
      <w:tr w:rsidR="00000000">
        <w:trPr>
          <w:divId w:val="1912694239"/>
          <w:cantSplit/>
          <w:tblCellSpacing w:w="15" w:type="dxa"/>
        </w:trPr>
        <w:tc>
          <w:tcPr>
            <w:tcW w:w="0" w:type="auto"/>
            <w:gridSpan w:val="2"/>
            <w:vAlign w:val="center"/>
            <w:hideMark/>
          </w:tcPr>
          <w:p w:rsidR="00000000" w:rsidRDefault="00EB04A8">
            <w:pPr>
              <w:pStyle w:val="Normlnywebov"/>
            </w:pPr>
            <w:r>
              <w:rPr>
                <w:noProof/>
              </w:rPr>
              <w:drawing>
                <wp:inline distT="0" distB="0" distL="0" distR="0">
                  <wp:extent cx="4457700" cy="4236720"/>
                  <wp:effectExtent l="0" t="0" r="0" b="0"/>
                  <wp:docPr id="6" name="Obrázok 6" descr="C:\303eb2b4b8332c9ed2a658debc2074f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303eb2b4b8332c9ed2a658debc2074f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57700" cy="4236720"/>
                          </a:xfrm>
                          <a:prstGeom prst="rect">
                            <a:avLst/>
                          </a:prstGeom>
                          <a:noFill/>
                          <a:ln>
                            <a:noFill/>
                          </a:ln>
                        </pic:spPr>
                      </pic:pic>
                    </a:graphicData>
                  </a:graphic>
                </wp:inline>
              </w:drawing>
            </w:r>
            <w:r>
              <w:t> </w:t>
            </w:r>
          </w:p>
        </w:tc>
      </w:tr>
      <w:tr w:rsidR="00000000">
        <w:trPr>
          <w:divId w:val="1912694239"/>
          <w:cantSplit/>
          <w:tblCellSpacing w:w="15" w:type="dxa"/>
        </w:trPr>
        <w:tc>
          <w:tcPr>
            <w:tcW w:w="0" w:type="auto"/>
            <w:vAlign w:val="center"/>
            <w:hideMark/>
          </w:tcPr>
          <w:p w:rsidR="00000000" w:rsidRDefault="00EB04A8">
            <w:pPr>
              <w:pStyle w:val="Normlnywebov"/>
            </w:pPr>
            <w:r>
              <w:rPr>
                <w:rStyle w:val="Siln"/>
              </w:rPr>
              <w:t>Riziká</w:t>
            </w:r>
          </w:p>
        </w:tc>
        <w:tc>
          <w:tcPr>
            <w:tcW w:w="0" w:type="auto"/>
            <w:vAlign w:val="center"/>
            <w:hideMark/>
          </w:tcPr>
          <w:p w:rsidR="00000000" w:rsidRDefault="00EB04A8">
            <w:pPr>
              <w:pStyle w:val="Normlnywebov"/>
            </w:pPr>
            <w:r>
              <w:rPr>
                <w:rStyle w:val="Siln"/>
              </w:rPr>
              <w:t>Spresnenie identifik</w:t>
            </w:r>
            <w:r>
              <w:rPr>
                <w:rStyle w:val="Siln"/>
              </w:rPr>
              <w:t>ovaných rizík:</w:t>
            </w:r>
            <w:r>
              <w:t xml:space="preserve"> </w:t>
            </w:r>
            <w:r>
              <w:rPr>
                <w:rStyle w:val="Zvraznenie"/>
              </w:rPr>
              <w:t>Odkazy na relevantné identifikátory rizík v prílohe Riziká.</w:t>
            </w:r>
          </w:p>
        </w:tc>
      </w:tr>
      <w:tr w:rsidR="00000000">
        <w:trPr>
          <w:divId w:val="1912694239"/>
          <w:cantSplit/>
          <w:tblCellSpacing w:w="15" w:type="dxa"/>
        </w:trPr>
        <w:tc>
          <w:tcPr>
            <w:tcW w:w="0" w:type="auto"/>
            <w:gridSpan w:val="2"/>
            <w:vAlign w:val="center"/>
            <w:hideMark/>
          </w:tcPr>
          <w:p w:rsidR="00000000" w:rsidRDefault="00EB04A8">
            <w:pPr>
              <w:pStyle w:val="Normlnywebov"/>
            </w:pPr>
            <w:r>
              <w:t>R 04 -  Náročnosť budovania informačného systému obce samotnými obcami a splnenie požadovaných funkčných, legislatívnych a bezpečnostných požiadaviek.</w:t>
            </w:r>
          </w:p>
        </w:tc>
      </w:tr>
      <w:tr w:rsidR="00000000">
        <w:trPr>
          <w:divId w:val="1912694239"/>
          <w:cantSplit/>
          <w:tblCellSpacing w:w="15" w:type="dxa"/>
        </w:trPr>
        <w:tc>
          <w:tcPr>
            <w:tcW w:w="0" w:type="auto"/>
            <w:vAlign w:val="center"/>
            <w:hideMark/>
          </w:tcPr>
          <w:p w:rsidR="00000000" w:rsidRDefault="00EB04A8">
            <w:pPr>
              <w:pStyle w:val="Normlnywebov"/>
            </w:pPr>
            <w:r>
              <w:rPr>
                <w:rStyle w:val="Siln"/>
              </w:rPr>
              <w:t>Prílohy</w:t>
            </w:r>
          </w:p>
        </w:tc>
        <w:tc>
          <w:tcPr>
            <w:tcW w:w="0" w:type="auto"/>
            <w:vAlign w:val="center"/>
            <w:hideMark/>
          </w:tcPr>
          <w:p w:rsidR="00000000" w:rsidRDefault="00EB04A8">
            <w:pPr>
              <w:pStyle w:val="Normlnywebov"/>
            </w:pPr>
            <w:r>
              <w:rPr>
                <w:rStyle w:val="Siln"/>
              </w:rPr>
              <w:t>Diagramy, modely, o</w:t>
            </w:r>
            <w:r>
              <w:rPr>
                <w:rStyle w:val="Siln"/>
              </w:rPr>
              <w:t>brázky v plnom rozlíšení</w:t>
            </w:r>
          </w:p>
        </w:tc>
      </w:tr>
      <w:tr w:rsidR="00000000">
        <w:trPr>
          <w:divId w:val="1912694239"/>
          <w:cantSplit/>
          <w:tblCellSpacing w:w="15" w:type="dxa"/>
        </w:trPr>
        <w:tc>
          <w:tcPr>
            <w:tcW w:w="0" w:type="auto"/>
            <w:vAlign w:val="center"/>
            <w:hideMark/>
          </w:tcPr>
          <w:p w:rsidR="00000000" w:rsidRDefault="00EB04A8">
            <w:pPr>
              <w:pStyle w:val="Normlnywebov"/>
            </w:pPr>
            <w:r>
              <w:t>Tabuľka 2 Riziká</w:t>
            </w:r>
          </w:p>
          <w:p w:rsidR="00000000" w:rsidRDefault="00EB04A8">
            <w:pPr>
              <w:pStyle w:val="Normlnywebov"/>
            </w:pPr>
            <w:r>
              <w:t>Tabuľka 3 Kritéria kvality</w:t>
            </w:r>
          </w:p>
          <w:p w:rsidR="00000000" w:rsidRDefault="00EB04A8">
            <w:pPr>
              <w:pStyle w:val="Normlnywebov"/>
            </w:pPr>
            <w:r>
              <w:t>Tabuľka 5 Biznis rozhrania</w:t>
            </w:r>
          </w:p>
          <w:p w:rsidR="00000000" w:rsidRDefault="00EB04A8">
            <w:pPr>
              <w:pStyle w:val="Normlnywebov"/>
            </w:pPr>
            <w:r>
              <w:t>Tabuľka 6 Biznis procesy</w:t>
            </w:r>
          </w:p>
          <w:p w:rsidR="00000000" w:rsidRDefault="00EB04A8">
            <w:pPr>
              <w:pStyle w:val="Normlnywebov"/>
            </w:pPr>
            <w:r>
              <w:t>Tabuľka 7 Biznis funkcie</w:t>
            </w:r>
          </w:p>
          <w:p w:rsidR="00000000" w:rsidRDefault="00EB04A8">
            <w:pPr>
              <w:pStyle w:val="Normlnywebov"/>
            </w:pPr>
            <w:r>
              <w:t>Tabuľka 8 Biznis služby</w:t>
            </w:r>
          </w:p>
          <w:p w:rsidR="00000000" w:rsidRDefault="00EB04A8">
            <w:pPr>
              <w:pStyle w:val="Normlnywebov"/>
            </w:pPr>
            <w:r>
              <w:rPr>
                <w:rStyle w:val="Zvraznenie"/>
              </w:rPr>
              <w:t>Tabuľka 9 Biznis informácie</w:t>
            </w:r>
          </w:p>
        </w:tc>
        <w:tc>
          <w:tcPr>
            <w:tcW w:w="0" w:type="auto"/>
            <w:vAlign w:val="center"/>
            <w:hideMark/>
          </w:tcPr>
          <w:p w:rsidR="00000000" w:rsidRDefault="00EB04A8">
            <w:pPr>
              <w:pStyle w:val="Normlnywebov"/>
            </w:pPr>
            <w:r>
              <w:rPr>
                <w:rStyle w:val="Zvraznenie"/>
              </w:rPr>
              <w:t>Odkazy na relevantné súbory. Prílohy obsahujú informácie vo forme modelov.</w:t>
            </w:r>
          </w:p>
        </w:tc>
      </w:tr>
    </w:tbl>
    <w:p w:rsidR="00000000" w:rsidRDefault="00EB04A8">
      <w:pPr>
        <w:pStyle w:val="Nadpis4"/>
        <w:rPr>
          <w:rFonts w:eastAsia="Times New Roman"/>
        </w:rPr>
      </w:pPr>
      <w:r>
        <w:rPr>
          <w:rFonts w:eastAsia="Times New Roman"/>
        </w:rPr>
        <w:t>2.2.2.1. Architektúra informačných systémov</w:t>
      </w:r>
    </w:p>
    <w:p w:rsidR="00000000" w:rsidRDefault="00EB04A8">
      <w:pPr>
        <w:pStyle w:val="Normlnywebov"/>
      </w:pPr>
      <w:r>
        <w:rPr>
          <w:rStyle w:val="Zvraznenie"/>
        </w:rPr>
        <w:t>Tabuľka 6 Architektúra informačných systémov - aktuálny stav</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785"/>
        <w:gridCol w:w="5575"/>
      </w:tblGrid>
      <w:tr w:rsidR="00000000">
        <w:trPr>
          <w:divId w:val="1613970613"/>
          <w:cantSplit/>
          <w:tblCellSpacing w:w="15" w:type="dxa"/>
        </w:trPr>
        <w:tc>
          <w:tcPr>
            <w:tcW w:w="0" w:type="auto"/>
            <w:gridSpan w:val="2"/>
            <w:vAlign w:val="center"/>
            <w:hideMark/>
          </w:tcPr>
          <w:p w:rsidR="00000000" w:rsidRDefault="00EB04A8">
            <w:pPr>
              <w:pStyle w:val="Normlnywebov"/>
            </w:pPr>
            <w:r>
              <w:rPr>
                <w:rStyle w:val="Siln"/>
              </w:rPr>
              <w:t>Súhrnný popis</w:t>
            </w:r>
          </w:p>
        </w:tc>
      </w:tr>
      <w:tr w:rsidR="00000000">
        <w:trPr>
          <w:divId w:val="1613970613"/>
          <w:cantSplit/>
          <w:tblCellSpacing w:w="15" w:type="dxa"/>
        </w:trPr>
        <w:tc>
          <w:tcPr>
            <w:tcW w:w="0" w:type="auto"/>
            <w:gridSpan w:val="2"/>
            <w:vAlign w:val="center"/>
            <w:hideMark/>
          </w:tcPr>
          <w:p w:rsidR="00000000" w:rsidRDefault="00EB04A8">
            <w:pPr>
              <w:pStyle w:val="Normlnywebov"/>
            </w:pPr>
            <w:r>
              <w:t>Obce, ktoré nie sú zapojené v DCOM dosahujú pomerne ní</w:t>
            </w:r>
            <w:r>
              <w:t>zku integráciu jednotlivých komponentov ISO. Pri spracovávaní fyzických dokumentov v ISO v neintegrovanom prostredí to prináša nižšiu efektivitu a nižšiu mieru komfortu pre pracovníkov obce. Pri elektronickej komunikácii, kde sa spracovávajú elektronické d</w:t>
            </w:r>
            <w:r>
              <w:t xml:space="preserve">okumenty, čo sú v podstate údaje v štruktúrovanej podobe, je obeh elektronických dokumentov bez vzájomnej integrácie jednotlivých informačných systémov obce nemožný. V krajnom prípade môže prísť k vytlačeniu elektronického dokumentu a následné spracovanie </w:t>
            </w:r>
            <w:r>
              <w:t>sa realizuje ako pri fyzických dokumentoch. V takom prípade sú však potlačené všetky výhody elektronickej komunikácie.</w:t>
            </w:r>
          </w:p>
          <w:p w:rsidR="00000000" w:rsidRDefault="00EB04A8">
            <w:pPr>
              <w:pStyle w:val="Normlnywebov"/>
            </w:pPr>
            <w:r>
              <w:t>V neintegrovanom prostredí nie je možné proces spracovania dokumentov plynulo previazať cez viaceré systémy a automatizácia spracovania v</w:t>
            </w:r>
            <w:r>
              <w:t> takomto prípade nie je možná.</w:t>
            </w:r>
          </w:p>
          <w:p w:rsidR="00000000" w:rsidRDefault="00EB04A8">
            <w:pPr>
              <w:pStyle w:val="Normlnywebov"/>
            </w:pPr>
            <w:r>
              <w:rPr>
                <w:rStyle w:val="Zvraznenie"/>
              </w:rPr>
              <w:t>Dopadom pre klientov obce sú dlhšie lehoty spracovania ich podaní a vyššia miera chybovosti</w:t>
            </w:r>
          </w:p>
          <w:p w:rsidR="00000000" w:rsidRDefault="00EB04A8">
            <w:pPr>
              <w:pStyle w:val="Normlnywebov"/>
            </w:pPr>
          </w:p>
        </w:tc>
      </w:tr>
      <w:tr w:rsidR="00000000">
        <w:trPr>
          <w:divId w:val="1613970613"/>
          <w:cantSplit/>
          <w:tblCellSpacing w:w="15" w:type="dxa"/>
        </w:trPr>
        <w:tc>
          <w:tcPr>
            <w:tcW w:w="0" w:type="auto"/>
            <w:gridSpan w:val="2"/>
            <w:vAlign w:val="center"/>
            <w:hideMark/>
          </w:tcPr>
          <w:p w:rsidR="00000000" w:rsidRDefault="00EB04A8">
            <w:pPr>
              <w:pStyle w:val="Normlnywebov"/>
            </w:pPr>
            <w:r>
              <w:t> Obrátok 7 Aktuálny stav z pohľadu práce úradníka v integrovanom IS</w:t>
            </w:r>
          </w:p>
          <w:p w:rsidR="00000000" w:rsidRDefault="00EB04A8">
            <w:pPr>
              <w:pStyle w:val="Normlnywebov"/>
            </w:pPr>
            <w:r>
              <w:rPr>
                <w:noProof/>
              </w:rPr>
              <w:drawing>
                <wp:inline distT="0" distB="0" distL="0" distR="0">
                  <wp:extent cx="4457700" cy="4251960"/>
                  <wp:effectExtent l="0" t="0" r="0" b="0"/>
                  <wp:docPr id="7" name="Obrázok 7" descr="C:\3035687203b893eff80f4b77c461e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3035687203b893eff80f4b77c461e45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57700" cy="4251960"/>
                          </a:xfrm>
                          <a:prstGeom prst="rect">
                            <a:avLst/>
                          </a:prstGeom>
                          <a:noFill/>
                          <a:ln>
                            <a:noFill/>
                          </a:ln>
                        </pic:spPr>
                      </pic:pic>
                    </a:graphicData>
                  </a:graphic>
                </wp:inline>
              </w:drawing>
            </w:r>
          </w:p>
          <w:p w:rsidR="00000000" w:rsidRDefault="00EB04A8">
            <w:pPr>
              <w:pStyle w:val="Normlnywebov"/>
            </w:pPr>
            <w:r>
              <w:t> </w:t>
            </w:r>
          </w:p>
          <w:p w:rsidR="00000000" w:rsidRDefault="00EB04A8">
            <w:pPr>
              <w:pStyle w:val="Normlnywebov"/>
            </w:pPr>
            <w:r>
              <w:t> </w:t>
            </w:r>
          </w:p>
        </w:tc>
      </w:tr>
      <w:tr w:rsidR="00000000">
        <w:trPr>
          <w:divId w:val="1613970613"/>
          <w:cantSplit/>
          <w:tblCellSpacing w:w="15" w:type="dxa"/>
        </w:trPr>
        <w:tc>
          <w:tcPr>
            <w:tcW w:w="0" w:type="auto"/>
            <w:vAlign w:val="center"/>
            <w:hideMark/>
          </w:tcPr>
          <w:p w:rsidR="00000000" w:rsidRDefault="00EB04A8">
            <w:pPr>
              <w:pStyle w:val="Normlnywebov"/>
            </w:pPr>
            <w:r>
              <w:rPr>
                <w:rStyle w:val="Siln"/>
              </w:rPr>
              <w:t>Riziká</w:t>
            </w:r>
          </w:p>
        </w:tc>
        <w:tc>
          <w:tcPr>
            <w:tcW w:w="0" w:type="auto"/>
            <w:vAlign w:val="center"/>
            <w:hideMark/>
          </w:tcPr>
          <w:p w:rsidR="00000000" w:rsidRDefault="00EB04A8">
            <w:pPr>
              <w:pStyle w:val="Normlnywebov"/>
            </w:pPr>
            <w:r>
              <w:rPr>
                <w:rStyle w:val="Siln"/>
              </w:rPr>
              <w:t>Spresnenie identifikovaných rizík:</w:t>
            </w:r>
            <w:r>
              <w:t xml:space="preserve"> </w:t>
            </w:r>
            <w:r>
              <w:rPr>
                <w:rStyle w:val="Zvraznenie"/>
              </w:rPr>
              <w:t>Odkazy na relevantné identifikátory rizík v prílohe Riziká</w:t>
            </w:r>
            <w:r>
              <w:rPr>
                <w:rStyle w:val="Zvraznenie"/>
              </w:rPr>
              <w:t>.</w:t>
            </w:r>
          </w:p>
        </w:tc>
      </w:tr>
      <w:tr w:rsidR="00000000">
        <w:trPr>
          <w:divId w:val="1613970613"/>
          <w:cantSplit/>
          <w:tblCellSpacing w:w="15" w:type="dxa"/>
        </w:trPr>
        <w:tc>
          <w:tcPr>
            <w:tcW w:w="0" w:type="auto"/>
            <w:gridSpan w:val="2"/>
            <w:vAlign w:val="center"/>
            <w:hideMark/>
          </w:tcPr>
          <w:p w:rsidR="00000000" w:rsidRDefault="00EB04A8">
            <w:pPr>
              <w:pStyle w:val="Normlnywebov"/>
            </w:pPr>
            <w:r>
              <w:rPr>
                <w:rStyle w:val="Zvraznenie"/>
              </w:rPr>
              <w:t>R 05 - Nízka efektivita pri spracovávaní elektronických dokumentov v neintegrovanom informačnom systéme obce. </w:t>
            </w:r>
          </w:p>
        </w:tc>
      </w:tr>
      <w:tr w:rsidR="00000000">
        <w:trPr>
          <w:divId w:val="1613970613"/>
          <w:cantSplit/>
          <w:tblCellSpacing w:w="15" w:type="dxa"/>
        </w:trPr>
        <w:tc>
          <w:tcPr>
            <w:tcW w:w="0" w:type="auto"/>
            <w:vAlign w:val="center"/>
            <w:hideMark/>
          </w:tcPr>
          <w:p w:rsidR="00000000" w:rsidRDefault="00EB04A8">
            <w:pPr>
              <w:pStyle w:val="Normlnywebov"/>
            </w:pPr>
            <w:r>
              <w:rPr>
                <w:rStyle w:val="Siln"/>
              </w:rPr>
              <w:t>Prílohy</w:t>
            </w:r>
          </w:p>
        </w:tc>
        <w:tc>
          <w:tcPr>
            <w:tcW w:w="0" w:type="auto"/>
            <w:vAlign w:val="center"/>
            <w:hideMark/>
          </w:tcPr>
          <w:p w:rsidR="00000000" w:rsidRDefault="00EB04A8">
            <w:pPr>
              <w:pStyle w:val="Normlnywebov"/>
            </w:pPr>
            <w:r>
              <w:rPr>
                <w:rStyle w:val="Siln"/>
              </w:rPr>
              <w:t>Diagramy, modely, obrázky v plnom rozlíšení</w:t>
            </w:r>
          </w:p>
        </w:tc>
      </w:tr>
      <w:tr w:rsidR="00000000">
        <w:trPr>
          <w:divId w:val="1613970613"/>
          <w:cantSplit/>
          <w:tblCellSpacing w:w="15" w:type="dxa"/>
        </w:trPr>
        <w:tc>
          <w:tcPr>
            <w:tcW w:w="0" w:type="auto"/>
            <w:vAlign w:val="center"/>
            <w:hideMark/>
          </w:tcPr>
          <w:p w:rsidR="00000000" w:rsidRDefault="00EB04A8">
            <w:pPr>
              <w:pStyle w:val="Normlnywebov"/>
            </w:pPr>
            <w:r>
              <w:t>Tabuľka 2 Riziká</w:t>
            </w:r>
          </w:p>
          <w:p w:rsidR="00000000" w:rsidRDefault="00EB04A8">
            <w:pPr>
              <w:pStyle w:val="Normlnywebov"/>
            </w:pPr>
            <w:r>
              <w:t>Tabuľka 10 Zoznam informačných systémov</w:t>
            </w:r>
          </w:p>
          <w:p w:rsidR="00000000" w:rsidRDefault="00EB04A8">
            <w:pPr>
              <w:pStyle w:val="Normlnywebov"/>
            </w:pPr>
            <w:r>
              <w:t>Tabuľka 11 Aplikačné moduly</w:t>
            </w:r>
          </w:p>
          <w:p w:rsidR="00000000" w:rsidRDefault="00EB04A8">
            <w:pPr>
              <w:pStyle w:val="Normlnywebov"/>
            </w:pPr>
            <w:r>
              <w:rPr>
                <w:rStyle w:val="Zvraznenie"/>
              </w:rPr>
              <w:t>Ta</w:t>
            </w:r>
            <w:r>
              <w:rPr>
                <w:rStyle w:val="Zvraznenie"/>
              </w:rPr>
              <w:t>buľka 12 Poskytované služby IS</w:t>
            </w:r>
          </w:p>
        </w:tc>
        <w:tc>
          <w:tcPr>
            <w:tcW w:w="0" w:type="auto"/>
            <w:vAlign w:val="center"/>
            <w:hideMark/>
          </w:tcPr>
          <w:p w:rsidR="00000000" w:rsidRDefault="00EB04A8">
            <w:pPr>
              <w:pStyle w:val="Normlnywebov"/>
            </w:pPr>
            <w:r>
              <w:rPr>
                <w:rStyle w:val="Zvraznenie"/>
              </w:rPr>
              <w:t>Odkazy na relevantné súbory. Prílohy obsahujú informácie vo forme modelov.</w:t>
            </w:r>
          </w:p>
        </w:tc>
      </w:tr>
    </w:tbl>
    <w:p w:rsidR="00000000" w:rsidRDefault="00EB04A8">
      <w:pPr>
        <w:pStyle w:val="Nadpis4"/>
        <w:rPr>
          <w:rFonts w:eastAsia="Times New Roman"/>
        </w:rPr>
      </w:pPr>
      <w:r>
        <w:rPr>
          <w:rFonts w:eastAsia="Times New Roman"/>
        </w:rPr>
        <w:t>2.2.2.2.Technologická architektúra</w:t>
      </w:r>
    </w:p>
    <w:p w:rsidR="00000000" w:rsidRDefault="00EB04A8">
      <w:pPr>
        <w:pStyle w:val="Normlnywebov"/>
      </w:pPr>
      <w:r>
        <w:rPr>
          <w:rStyle w:val="Zvraznenie"/>
        </w:rPr>
        <w:t>Tabuľka 7 Technologická architektúra - aktuálny stav</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643"/>
        <w:gridCol w:w="5717"/>
      </w:tblGrid>
      <w:tr w:rsidR="00000000">
        <w:trPr>
          <w:divId w:val="1034960704"/>
          <w:cantSplit/>
          <w:tblCellSpacing w:w="15" w:type="dxa"/>
        </w:trPr>
        <w:tc>
          <w:tcPr>
            <w:tcW w:w="0" w:type="auto"/>
            <w:gridSpan w:val="2"/>
            <w:vAlign w:val="center"/>
            <w:hideMark/>
          </w:tcPr>
          <w:p w:rsidR="00000000" w:rsidRDefault="00EB04A8">
            <w:pPr>
              <w:pStyle w:val="Normlnywebov"/>
            </w:pPr>
            <w:r>
              <w:rPr>
                <w:rStyle w:val="Siln"/>
              </w:rPr>
              <w:t>Súhrnný popis</w:t>
            </w:r>
          </w:p>
          <w:p w:rsidR="00000000" w:rsidRDefault="00EB04A8">
            <w:pPr>
              <w:pStyle w:val="Normlnywebov"/>
            </w:pPr>
            <w:r>
              <w:t> </w:t>
            </w:r>
          </w:p>
        </w:tc>
      </w:tr>
      <w:tr w:rsidR="00000000">
        <w:trPr>
          <w:divId w:val="1034960704"/>
          <w:cantSplit/>
          <w:tblCellSpacing w:w="15" w:type="dxa"/>
        </w:trPr>
        <w:tc>
          <w:tcPr>
            <w:tcW w:w="0" w:type="auto"/>
            <w:gridSpan w:val="2"/>
            <w:vAlign w:val="center"/>
            <w:hideMark/>
          </w:tcPr>
          <w:p w:rsidR="00000000" w:rsidRDefault="00EB04A8">
            <w:pPr>
              <w:pStyle w:val="Normlnywebov"/>
            </w:pPr>
            <w:r>
              <w:t>V rámci projektu DCOM bolo k </w:t>
            </w:r>
            <w:r>
              <w:t>01.12.2015 plnohodnotne pripojených 1511 obcí, ktoré mohli využívať riešenie IS DCOM. K 01.05.2017 po zohľadnení obcí, ktoré počas prevádzky vystúpili z IS DCOM bol ich počet 1474. Obce boli vybavené zariadeniami, z ktorých môžu bezpečne pristupovať k info</w:t>
            </w:r>
            <w:r>
              <w:t>rmačnému systému DCOM a je im poskytovaná centrálna správa dodaných zariadení.</w:t>
            </w:r>
          </w:p>
          <w:p w:rsidR="00000000" w:rsidRDefault="00EB04A8">
            <w:pPr>
              <w:pStyle w:val="Normlnywebov"/>
            </w:pPr>
            <w:r>
              <w:t>Zostala však veľká skupina obcí a miest, ktoré sa nezapojili do projektu DCOM. Vo väčšine prípadov prevádzkujú interné informačné systémy naďalej na lokálnej infraštruktúre obce</w:t>
            </w:r>
            <w:r>
              <w:t xml:space="preserve">. Technologická úroveň riešení môže byť veľmi rozdielna ale v zásade sa prevádzkujú jednotlivé agendy a systémy na viacerých softvérových riešeniach, často od rôznych dodávateľov. Jednotlivé riešenia si vyžadujú samostatnú inštaláciu (rozdielne koncepty – </w:t>
            </w:r>
            <w:r>
              <w:t>lokálna inštalácia na PC, klient/server aplikácia apod.) ale aj rozdielne náročnú prevádzku (aktualizácie, zálohovanie a pod.). Na väčších obciach býva prevádzkovaný aj centrálny server, ktorý plní viacero infraštruktúrnych funkcií (server pre správu užíva</w:t>
            </w:r>
            <w:r>
              <w:t>teľov a koncových zariadení, tlačový server, súborový server a pod.) a/alebo je na ňom prevádzkovaný centrálny databázový/aplikačný systém. Samozrejmosťou je dnes už pripojenie obce do rôznych externých sietí (predovšetkým Internet), ich kvalita a bezpečno</w:t>
            </w:r>
            <w:r>
              <w:t>sť je veľmi rozdielna, v častých prípadoch je nepostačujúca ich rýchlosť. Väčšinou sa o tieto lokálne systémy, riešenia a zariadenia stará lokálny informatik (často ako externista) spolu s externými dodávateľmi. Niektoré obce využívajú riešenia a služby ak</w:t>
            </w:r>
            <w:r>
              <w:t>o mail, web, hosting, účtovníctvo a pod. prevádzkované mimo obce, predovšetkým dostupné cez sieť Internet od rôznych poskytovateľov.</w:t>
            </w:r>
          </w:p>
          <w:p w:rsidR="00000000" w:rsidRDefault="00EB04A8">
            <w:pPr>
              <w:pStyle w:val="Normlnywebov"/>
            </w:pPr>
            <w:r>
              <w:rPr>
                <w:rStyle w:val="Zvraznenie"/>
              </w:rPr>
              <w:t>Tieto obce si musia zabezpečovať napojenie lokálnych agendových systémov na centrálne registre a systémy individuálne, čo z</w:t>
            </w:r>
            <w:r>
              <w:rPr>
                <w:rStyle w:val="Zvraznenie"/>
              </w:rPr>
              <w:t> nich (starostov a informatikov) robí integrátora lokálnych riešení s centrálnymi systémami štátnej správy.  </w:t>
            </w:r>
          </w:p>
        </w:tc>
      </w:tr>
      <w:tr w:rsidR="00000000">
        <w:trPr>
          <w:divId w:val="1034960704"/>
          <w:cantSplit/>
          <w:tblCellSpacing w:w="15" w:type="dxa"/>
        </w:trPr>
        <w:tc>
          <w:tcPr>
            <w:tcW w:w="0" w:type="auto"/>
            <w:gridSpan w:val="2"/>
            <w:vAlign w:val="center"/>
            <w:hideMark/>
          </w:tcPr>
          <w:p w:rsidR="00000000" w:rsidRDefault="00EB04A8">
            <w:pPr>
              <w:pStyle w:val="Normlnywebov"/>
            </w:pPr>
            <w:r>
              <w:rPr>
                <w:i/>
                <w:iCs/>
                <w:noProof/>
              </w:rPr>
              <w:drawing>
                <wp:inline distT="0" distB="0" distL="0" distR="0">
                  <wp:extent cx="4457700" cy="2209800"/>
                  <wp:effectExtent l="0" t="0" r="0" b="0"/>
                  <wp:docPr id="8" name="Obrázok 8" descr="C:\af447edcf48a4e2ba71b2d9593a63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f447edcf48a4e2ba71b2d9593a6384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57700" cy="2209800"/>
                          </a:xfrm>
                          <a:prstGeom prst="rect">
                            <a:avLst/>
                          </a:prstGeom>
                          <a:noFill/>
                          <a:ln>
                            <a:noFill/>
                          </a:ln>
                        </pic:spPr>
                      </pic:pic>
                    </a:graphicData>
                  </a:graphic>
                </wp:inline>
              </w:drawing>
            </w:r>
          </w:p>
          <w:p w:rsidR="00000000" w:rsidRDefault="00EB04A8">
            <w:pPr>
              <w:pStyle w:val="Normlnywebov"/>
            </w:pPr>
            <w:r>
              <w:t> </w:t>
            </w:r>
          </w:p>
        </w:tc>
      </w:tr>
      <w:tr w:rsidR="00000000">
        <w:trPr>
          <w:divId w:val="1034960704"/>
          <w:cantSplit/>
          <w:tblCellSpacing w:w="15" w:type="dxa"/>
        </w:trPr>
        <w:tc>
          <w:tcPr>
            <w:tcW w:w="0" w:type="auto"/>
            <w:gridSpan w:val="2"/>
            <w:vAlign w:val="center"/>
            <w:hideMark/>
          </w:tcPr>
          <w:p w:rsidR="00000000" w:rsidRDefault="00EB04A8">
            <w:pPr>
              <w:pStyle w:val="Normlnywebov"/>
            </w:pPr>
            <w:r>
              <w:t> </w:t>
            </w:r>
          </w:p>
        </w:tc>
      </w:tr>
      <w:tr w:rsidR="00000000">
        <w:trPr>
          <w:divId w:val="1034960704"/>
          <w:cantSplit/>
          <w:tblCellSpacing w:w="15" w:type="dxa"/>
        </w:trPr>
        <w:tc>
          <w:tcPr>
            <w:tcW w:w="0" w:type="auto"/>
            <w:vAlign w:val="center"/>
            <w:hideMark/>
          </w:tcPr>
          <w:p w:rsidR="00000000" w:rsidRDefault="00EB04A8">
            <w:pPr>
              <w:pStyle w:val="Normlnywebov"/>
            </w:pPr>
            <w:r>
              <w:rPr>
                <w:rStyle w:val="Siln"/>
              </w:rPr>
              <w:t>Riziká</w:t>
            </w:r>
          </w:p>
        </w:tc>
        <w:tc>
          <w:tcPr>
            <w:tcW w:w="0" w:type="auto"/>
            <w:vAlign w:val="center"/>
            <w:hideMark/>
          </w:tcPr>
          <w:p w:rsidR="00000000" w:rsidRDefault="00EB04A8">
            <w:pPr>
              <w:pStyle w:val="Normlnywebov"/>
            </w:pPr>
            <w:r>
              <w:rPr>
                <w:rStyle w:val="Siln"/>
              </w:rPr>
              <w:t>Spresnenie identifikovaných rizík:</w:t>
            </w:r>
            <w:r>
              <w:t xml:space="preserve"> </w:t>
            </w:r>
            <w:r>
              <w:rPr>
                <w:rStyle w:val="Zvraznenie"/>
              </w:rPr>
              <w:t>Odkazy na relevantné identifikátory rizík v prílohe Riziká.</w:t>
            </w:r>
          </w:p>
        </w:tc>
      </w:tr>
      <w:tr w:rsidR="00000000">
        <w:trPr>
          <w:divId w:val="1034960704"/>
          <w:cantSplit/>
          <w:tblCellSpacing w:w="15" w:type="dxa"/>
        </w:trPr>
        <w:tc>
          <w:tcPr>
            <w:tcW w:w="0" w:type="auto"/>
            <w:gridSpan w:val="2"/>
            <w:vAlign w:val="center"/>
            <w:hideMark/>
          </w:tcPr>
          <w:p w:rsidR="00000000" w:rsidRDefault="00EB04A8">
            <w:pPr>
              <w:pStyle w:val="Normlnywebov"/>
            </w:pPr>
            <w:r>
              <w:t> </w:t>
            </w:r>
          </w:p>
        </w:tc>
      </w:tr>
      <w:tr w:rsidR="00000000">
        <w:trPr>
          <w:divId w:val="1034960704"/>
          <w:cantSplit/>
          <w:tblCellSpacing w:w="15" w:type="dxa"/>
        </w:trPr>
        <w:tc>
          <w:tcPr>
            <w:tcW w:w="0" w:type="auto"/>
            <w:vAlign w:val="center"/>
            <w:hideMark/>
          </w:tcPr>
          <w:p w:rsidR="00000000" w:rsidRDefault="00EB04A8">
            <w:pPr>
              <w:pStyle w:val="Normlnywebov"/>
            </w:pPr>
            <w:r>
              <w:rPr>
                <w:rStyle w:val="Siln"/>
              </w:rPr>
              <w:t>Prílohy</w:t>
            </w:r>
          </w:p>
        </w:tc>
        <w:tc>
          <w:tcPr>
            <w:tcW w:w="0" w:type="auto"/>
            <w:vAlign w:val="center"/>
            <w:hideMark/>
          </w:tcPr>
          <w:p w:rsidR="00000000" w:rsidRDefault="00EB04A8">
            <w:pPr>
              <w:pStyle w:val="Normlnywebov"/>
            </w:pPr>
            <w:r>
              <w:rPr>
                <w:rStyle w:val="Siln"/>
              </w:rPr>
              <w:t>Diagramy, modely, obrázky v plnom rozlíšení</w:t>
            </w:r>
          </w:p>
        </w:tc>
      </w:tr>
      <w:tr w:rsidR="00000000">
        <w:trPr>
          <w:divId w:val="1034960704"/>
          <w:cantSplit/>
          <w:tblCellSpacing w:w="15" w:type="dxa"/>
        </w:trPr>
        <w:tc>
          <w:tcPr>
            <w:tcW w:w="0" w:type="auto"/>
            <w:vAlign w:val="center"/>
            <w:hideMark/>
          </w:tcPr>
          <w:p w:rsidR="00000000" w:rsidRDefault="00EB04A8">
            <w:pPr>
              <w:pStyle w:val="Normlnywebov"/>
            </w:pPr>
            <w:r>
              <w:t>Tabuľka 2 Riziká</w:t>
            </w:r>
          </w:p>
          <w:p w:rsidR="00000000" w:rsidRDefault="00EB04A8">
            <w:pPr>
              <w:pStyle w:val="Normlnywebov"/>
            </w:pPr>
            <w:r>
              <w:t>Tabuľka 13 Komunikačná infraštruktúra</w:t>
            </w:r>
          </w:p>
          <w:p w:rsidR="00000000" w:rsidRDefault="00EB04A8">
            <w:pPr>
              <w:pStyle w:val="Normlnywebov"/>
            </w:pPr>
            <w:r>
              <w:t>Tabuľka 13 Platforma</w:t>
            </w:r>
          </w:p>
          <w:p w:rsidR="00000000" w:rsidRDefault="00EB04A8">
            <w:pPr>
              <w:pStyle w:val="Normlnywebov"/>
            </w:pPr>
            <w:r>
              <w:t>Tabuľka 14 Báza dát</w:t>
            </w:r>
          </w:p>
          <w:p w:rsidR="00000000" w:rsidRDefault="00EB04A8">
            <w:pPr>
              <w:pStyle w:val="Normlnywebov"/>
            </w:pPr>
            <w:r>
              <w:t>Tabuľka 15 Platformový softvér</w:t>
            </w:r>
          </w:p>
          <w:p w:rsidR="00000000" w:rsidRDefault="00EB04A8">
            <w:pPr>
              <w:pStyle w:val="Normlnywebov"/>
            </w:pPr>
            <w:r>
              <w:t>Tabuľka 16 Výpočtové zdroje</w:t>
            </w:r>
          </w:p>
          <w:p w:rsidR="00000000" w:rsidRDefault="00EB04A8">
            <w:pPr>
              <w:pStyle w:val="Normlnywebov"/>
            </w:pPr>
            <w:r>
              <w:t>Tabuľka 17 Úložiská údajov</w:t>
            </w:r>
          </w:p>
          <w:p w:rsidR="00000000" w:rsidRDefault="00EB04A8">
            <w:pPr>
              <w:pStyle w:val="Normlnywebov"/>
            </w:pPr>
            <w:r>
              <w:t>Tabuľka 18 Zálohovanie</w:t>
            </w:r>
          </w:p>
          <w:p w:rsidR="00000000" w:rsidRDefault="00EB04A8">
            <w:pPr>
              <w:pStyle w:val="Normlnywebov"/>
            </w:pPr>
            <w:r>
              <w:t>Tabuľka 19 Komunikačná infraštruktúra</w:t>
            </w:r>
          </w:p>
          <w:p w:rsidR="00000000" w:rsidRDefault="00EB04A8">
            <w:pPr>
              <w:pStyle w:val="Normlnywebov"/>
            </w:pPr>
            <w:r>
              <w:t>Tabuľka 20 Špeciálne te</w:t>
            </w:r>
            <w:r>
              <w:t>chnológie</w:t>
            </w:r>
          </w:p>
          <w:p w:rsidR="00000000" w:rsidRDefault="00EB04A8">
            <w:pPr>
              <w:pStyle w:val="Normlnywebov"/>
            </w:pPr>
            <w:r>
              <w:rPr>
                <w:rStyle w:val="Zvraznenie"/>
              </w:rPr>
              <w:t>Tabuľka 21 Dátové centrum - sála</w:t>
            </w:r>
          </w:p>
        </w:tc>
        <w:tc>
          <w:tcPr>
            <w:tcW w:w="0" w:type="auto"/>
            <w:vAlign w:val="center"/>
            <w:hideMark/>
          </w:tcPr>
          <w:p w:rsidR="00000000" w:rsidRDefault="00EB04A8">
            <w:pPr>
              <w:pStyle w:val="Normlnywebov"/>
            </w:pPr>
            <w:r>
              <w:rPr>
                <w:rStyle w:val="Zvraznenie"/>
              </w:rPr>
              <w:t>Odkazy na relevantné súbory. Prílohy obsahujú informácie vo forme modelov.</w:t>
            </w:r>
          </w:p>
        </w:tc>
      </w:tr>
    </w:tbl>
    <w:p w:rsidR="00000000" w:rsidRDefault="00EB04A8">
      <w:pPr>
        <w:pStyle w:val="Nadpis4"/>
        <w:rPr>
          <w:rFonts w:eastAsia="Times New Roman"/>
        </w:rPr>
      </w:pPr>
      <w:r>
        <w:rPr>
          <w:rFonts w:eastAsia="Times New Roman"/>
        </w:rPr>
        <w:t>2.2.2.3. Bezpečnostná architektúra</w:t>
      </w:r>
    </w:p>
    <w:p w:rsidR="00000000" w:rsidRDefault="00EB04A8">
      <w:pPr>
        <w:pStyle w:val="Normlnywebov"/>
      </w:pPr>
      <w:r>
        <w:rPr>
          <w:rStyle w:val="Zvraznenie"/>
        </w:rPr>
        <w:t>Tabuľka 8 Bezpečnostná architektúra - aktuálny stav</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2207"/>
        <w:gridCol w:w="7153"/>
      </w:tblGrid>
      <w:tr w:rsidR="00000000">
        <w:trPr>
          <w:divId w:val="1667052900"/>
          <w:cantSplit/>
          <w:tblCellSpacing w:w="15" w:type="dxa"/>
        </w:trPr>
        <w:tc>
          <w:tcPr>
            <w:tcW w:w="0" w:type="auto"/>
            <w:gridSpan w:val="2"/>
            <w:vAlign w:val="center"/>
            <w:hideMark/>
          </w:tcPr>
          <w:p w:rsidR="00000000" w:rsidRDefault="00EB04A8">
            <w:pPr>
              <w:pStyle w:val="Normlnywebov"/>
            </w:pPr>
            <w:r>
              <w:rPr>
                <w:rStyle w:val="Siln"/>
              </w:rPr>
              <w:t>Súhrnný popis</w:t>
            </w:r>
          </w:p>
        </w:tc>
      </w:tr>
      <w:tr w:rsidR="00000000">
        <w:trPr>
          <w:divId w:val="1667052900"/>
          <w:cantSplit/>
          <w:tblCellSpacing w:w="15" w:type="dxa"/>
        </w:trPr>
        <w:tc>
          <w:tcPr>
            <w:tcW w:w="0" w:type="auto"/>
            <w:gridSpan w:val="2"/>
            <w:vAlign w:val="center"/>
            <w:hideMark/>
          </w:tcPr>
          <w:p w:rsidR="00000000" w:rsidRDefault="00EB04A8">
            <w:pPr>
              <w:pStyle w:val="Normlnywebov"/>
            </w:pPr>
            <w:r>
              <w:t>Bezpečnosť lokálnej infraštruktúry a lokálnych informačných systémov obcí a miest, ktoré nie sú zapojené do projektu DCOM, nie je vo väčšine prípadov riešená komplexne. Obce často nemajú dostatok prostriedkov na to aby zabezpečili implementáciu a prevádzku</w:t>
            </w:r>
            <w:r>
              <w:t xml:space="preserve"> infraštruktúry a softvérových riešení v súlade s právnymi normami, Národnou stratégiou pre bezpečnosť informačných systémov v Slovenskej republike a medzinárodnými normami v oblasti bezpečnosti informačných systémov.</w:t>
            </w:r>
          </w:p>
          <w:p w:rsidR="00000000" w:rsidRDefault="00EB04A8">
            <w:pPr>
              <w:pStyle w:val="Normlnywebov"/>
            </w:pPr>
            <w:r>
              <w:t>Prevádzka lokálnych informačných systé</w:t>
            </w:r>
            <w:r>
              <w:t>mov je vo väčšine prípadov zabezpečovaná na jednom serveri alebo PC a pri ich zlyhaní obec nie je schopná na určitý čas poskytovať služby občanom a vybavovať agendy. Často chýba centrálna správa koncových zariadení a užívateľov a s tým spojená správa centr</w:t>
            </w:r>
            <w:r>
              <w:t>álnych bezpečnostných pravidiel (centrálna správa používateľov, kvalita hesiel a ich pravidelná zmena, logovanie a audit prístupu užívateľov k súborom, aplikáciám, údajom, atď.). Navyše väčšinou každá lokálna aplikácia má vlastný autentifikačný a autorizač</w:t>
            </w:r>
            <w:r>
              <w:t>ný mechanizmus a užívatelia tak majú viacero účtov a hesiel, ktoré sú buď rovnaké alebo žiadne.</w:t>
            </w:r>
          </w:p>
          <w:p w:rsidR="00000000" w:rsidRDefault="00EB04A8">
            <w:pPr>
              <w:pStyle w:val="Normlnywebov"/>
            </w:pPr>
            <w:r>
              <w:t>Taktiež nie je vo väčšine prípadov riešená ani fyzická bezpečnosť zariadení alebo šifrovanie citlivých údajov pre prípad odcudzenia. Implementácia bezpečnostnýc</w:t>
            </w:r>
            <w:r>
              <w:t>h opatrení sa vo väčšine prípadov obmedzuje na inštaláciu antivírového softvéru na koncových zariadeniach. Často sa objavujú bezpečnostné riziká na bezdrôtových pripojeniach (WiFi) na obci. Nie sú vykonávané ani požadované pravidelné bezpečnostné audity je</w:t>
            </w:r>
            <w:r>
              <w:t>dnotlivých komponentov infraštruktúry a softvérových riešení.</w:t>
            </w:r>
          </w:p>
          <w:p w:rsidR="00000000" w:rsidRDefault="00EB04A8">
            <w:pPr>
              <w:pStyle w:val="Normlnywebov"/>
            </w:pPr>
            <w:r>
              <w:t>Na prístup do ÚPVS a centrálnych registrov a agend je potrebné udržiavať niekoľko VPN pripojení. Bezpečný prístup k aplikáciám od externých dodávateľov nevyužíva dostatočne bezpečné mechanizmy n</w:t>
            </w:r>
            <w:r>
              <w:t>apr. dvojfaktorová autentifikácia (v drvivej väčšine sa používa len prístupové meno a heslo, ktoré je v prostredí internetu ľahko zneužiteľné. Bezpečný prístup z externých sietí (z laptopov obce, alebo internetových kioskov) k interným agendovým systémom p</w:t>
            </w:r>
            <w:r>
              <w:t>revádzkovaným lokálne na obci je implementovaný len v ojedinelých prípadoch, tiež bez použitia VPN alebo dvojfaktorovej autentifikácie.</w:t>
            </w:r>
          </w:p>
        </w:tc>
      </w:tr>
      <w:tr w:rsidR="00000000">
        <w:trPr>
          <w:divId w:val="1667052900"/>
          <w:cantSplit/>
          <w:tblCellSpacing w:w="15" w:type="dxa"/>
        </w:trPr>
        <w:tc>
          <w:tcPr>
            <w:tcW w:w="0" w:type="auto"/>
            <w:gridSpan w:val="2"/>
            <w:vAlign w:val="center"/>
            <w:hideMark/>
          </w:tcPr>
          <w:p w:rsidR="00000000" w:rsidRDefault="00EB04A8">
            <w:pPr>
              <w:pStyle w:val="Normlnywebov"/>
            </w:pPr>
            <w:r>
              <w:t>Obrázok 8 Bezpečnostná architektúra obce</w:t>
            </w:r>
          </w:p>
          <w:p w:rsidR="00000000" w:rsidRDefault="00EB04A8">
            <w:pPr>
              <w:pStyle w:val="Normlnywebov"/>
            </w:pPr>
            <w:r>
              <w:rPr>
                <w:noProof/>
              </w:rPr>
              <w:drawing>
                <wp:inline distT="0" distB="0" distL="0" distR="0">
                  <wp:extent cx="4457700" cy="5730240"/>
                  <wp:effectExtent l="0" t="0" r="0" b="3810"/>
                  <wp:docPr id="9" name="Obrázok 9" descr="C:\4ea188c5112c7fad4f84d5a741a675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4ea188c5112c7fad4f84d5a741a6750f"/>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57700" cy="5730240"/>
                          </a:xfrm>
                          <a:prstGeom prst="rect">
                            <a:avLst/>
                          </a:prstGeom>
                          <a:noFill/>
                          <a:ln>
                            <a:noFill/>
                          </a:ln>
                        </pic:spPr>
                      </pic:pic>
                    </a:graphicData>
                  </a:graphic>
                </wp:inline>
              </w:drawing>
            </w:r>
          </w:p>
          <w:p w:rsidR="00000000" w:rsidRDefault="00EB04A8">
            <w:pPr>
              <w:pStyle w:val="Normlnywebov"/>
            </w:pPr>
            <w:r>
              <w:t> </w:t>
            </w:r>
          </w:p>
        </w:tc>
      </w:tr>
      <w:tr w:rsidR="00000000">
        <w:trPr>
          <w:divId w:val="1667052900"/>
          <w:cantSplit/>
          <w:tblCellSpacing w:w="15" w:type="dxa"/>
        </w:trPr>
        <w:tc>
          <w:tcPr>
            <w:tcW w:w="0" w:type="auto"/>
            <w:gridSpan w:val="2"/>
            <w:vAlign w:val="center"/>
            <w:hideMark/>
          </w:tcPr>
          <w:p w:rsidR="00000000" w:rsidRDefault="00EB04A8">
            <w:pPr>
              <w:pStyle w:val="Normlnywebov"/>
            </w:pPr>
            <w:r>
              <w:t> </w:t>
            </w:r>
          </w:p>
        </w:tc>
      </w:tr>
      <w:tr w:rsidR="00000000">
        <w:trPr>
          <w:divId w:val="1667052900"/>
          <w:cantSplit/>
          <w:tblCellSpacing w:w="15" w:type="dxa"/>
        </w:trPr>
        <w:tc>
          <w:tcPr>
            <w:tcW w:w="0" w:type="auto"/>
            <w:vAlign w:val="center"/>
            <w:hideMark/>
          </w:tcPr>
          <w:p w:rsidR="00000000" w:rsidRDefault="00EB04A8">
            <w:pPr>
              <w:pStyle w:val="Normlnywebov"/>
            </w:pPr>
            <w:r>
              <w:rPr>
                <w:rStyle w:val="Siln"/>
              </w:rPr>
              <w:t>Riziká</w:t>
            </w:r>
          </w:p>
        </w:tc>
        <w:tc>
          <w:tcPr>
            <w:tcW w:w="0" w:type="auto"/>
            <w:vAlign w:val="center"/>
            <w:hideMark/>
          </w:tcPr>
          <w:p w:rsidR="00000000" w:rsidRDefault="00EB04A8">
            <w:pPr>
              <w:pStyle w:val="Normlnywebov"/>
            </w:pPr>
            <w:r>
              <w:rPr>
                <w:rStyle w:val="Siln"/>
              </w:rPr>
              <w:t>Spresnenie identifikovaných rizík:</w:t>
            </w:r>
            <w:r>
              <w:t xml:space="preserve"> </w:t>
            </w:r>
            <w:r>
              <w:rPr>
                <w:rStyle w:val="Zvraznenie"/>
              </w:rPr>
              <w:t>Odkazy na relevantné identifikátory rizík v prílohe Riziká.</w:t>
            </w:r>
          </w:p>
        </w:tc>
      </w:tr>
      <w:tr w:rsidR="00000000">
        <w:trPr>
          <w:divId w:val="1667052900"/>
          <w:cantSplit/>
          <w:tblCellSpacing w:w="15" w:type="dxa"/>
        </w:trPr>
        <w:tc>
          <w:tcPr>
            <w:tcW w:w="0" w:type="auto"/>
            <w:gridSpan w:val="2"/>
            <w:vAlign w:val="center"/>
            <w:hideMark/>
          </w:tcPr>
          <w:p w:rsidR="00000000" w:rsidRDefault="00EB04A8">
            <w:pPr>
              <w:pStyle w:val="Normlnywebov"/>
            </w:pPr>
            <w:r>
              <w:rPr>
                <w:rStyle w:val="Zvraznenie"/>
              </w:rPr>
              <w:t>R 06 - Náročnosť plnenia bezpečnostných kritérií na informačný systém obc</w:t>
            </w:r>
            <w:r>
              <w:rPr>
                <w:rStyle w:val="Zvraznenie"/>
              </w:rPr>
              <w:t>e, ak si ho obec buduje samostatne. </w:t>
            </w:r>
          </w:p>
        </w:tc>
      </w:tr>
      <w:tr w:rsidR="00000000">
        <w:trPr>
          <w:divId w:val="1667052900"/>
          <w:cantSplit/>
          <w:tblCellSpacing w:w="15" w:type="dxa"/>
        </w:trPr>
        <w:tc>
          <w:tcPr>
            <w:tcW w:w="0" w:type="auto"/>
            <w:vAlign w:val="center"/>
            <w:hideMark/>
          </w:tcPr>
          <w:p w:rsidR="00000000" w:rsidRDefault="00EB04A8">
            <w:pPr>
              <w:pStyle w:val="Normlnywebov"/>
            </w:pPr>
            <w:r>
              <w:rPr>
                <w:rStyle w:val="Siln"/>
              </w:rPr>
              <w:t>Prílohy</w:t>
            </w:r>
          </w:p>
        </w:tc>
        <w:tc>
          <w:tcPr>
            <w:tcW w:w="0" w:type="auto"/>
            <w:vAlign w:val="center"/>
            <w:hideMark/>
          </w:tcPr>
          <w:p w:rsidR="00000000" w:rsidRDefault="00EB04A8">
            <w:pPr>
              <w:pStyle w:val="Normlnywebov"/>
            </w:pPr>
            <w:r>
              <w:rPr>
                <w:rStyle w:val="Siln"/>
              </w:rPr>
              <w:t>Diagramy, modely, obrázky v plnom rozlíšení</w:t>
            </w:r>
          </w:p>
        </w:tc>
      </w:tr>
      <w:tr w:rsidR="00000000">
        <w:trPr>
          <w:divId w:val="1667052900"/>
          <w:cantSplit/>
          <w:tblCellSpacing w:w="15" w:type="dxa"/>
        </w:trPr>
        <w:tc>
          <w:tcPr>
            <w:tcW w:w="0" w:type="auto"/>
            <w:vAlign w:val="center"/>
            <w:hideMark/>
          </w:tcPr>
          <w:p w:rsidR="00000000" w:rsidRDefault="00EB04A8">
            <w:pPr>
              <w:pStyle w:val="Normlnywebov"/>
            </w:pPr>
            <w:r>
              <w:rPr>
                <w:rStyle w:val="Zvraznenie"/>
              </w:rPr>
              <w:t>Tabuľka 2 Riziká</w:t>
            </w:r>
          </w:p>
        </w:tc>
        <w:tc>
          <w:tcPr>
            <w:tcW w:w="0" w:type="auto"/>
            <w:vAlign w:val="center"/>
            <w:hideMark/>
          </w:tcPr>
          <w:p w:rsidR="00000000" w:rsidRDefault="00EB04A8">
            <w:pPr>
              <w:pStyle w:val="Normlnywebov"/>
            </w:pPr>
            <w:r>
              <w:rPr>
                <w:rStyle w:val="Zvraznenie"/>
              </w:rPr>
              <w:t>Odkazy na relevantné súbory. Prílohy obsahujú informácie vo forme modelov.</w:t>
            </w:r>
          </w:p>
        </w:tc>
      </w:tr>
    </w:tbl>
    <w:p w:rsidR="00000000" w:rsidRDefault="00EB04A8">
      <w:pPr>
        <w:pStyle w:val="Nadpis3"/>
        <w:rPr>
          <w:rFonts w:eastAsia="Times New Roman"/>
        </w:rPr>
      </w:pPr>
      <w:r>
        <w:rPr>
          <w:rFonts w:eastAsia="Times New Roman"/>
        </w:rPr>
        <w:t>2.2.3. Prevádzka</w:t>
      </w:r>
    </w:p>
    <w:p w:rsidR="00000000" w:rsidRDefault="00EB04A8">
      <w:pPr>
        <w:pStyle w:val="Normlnywebov"/>
      </w:pPr>
      <w:r>
        <w:rPr>
          <w:rStyle w:val="Zvraznenie"/>
        </w:rPr>
        <w:t>Tabuľka 9 Prevádzka - aktuálny stav</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1823"/>
        <w:gridCol w:w="7390"/>
        <w:gridCol w:w="66"/>
        <w:gridCol w:w="81"/>
      </w:tblGrid>
      <w:tr w:rsidR="00000000">
        <w:trPr>
          <w:gridAfter w:val="2"/>
          <w:divId w:val="485634340"/>
          <w:cantSplit/>
          <w:tblCellSpacing w:w="15" w:type="dxa"/>
        </w:trPr>
        <w:tc>
          <w:tcPr>
            <w:tcW w:w="0" w:type="auto"/>
            <w:gridSpan w:val="2"/>
            <w:vAlign w:val="center"/>
            <w:hideMark/>
          </w:tcPr>
          <w:p w:rsidR="00000000" w:rsidRDefault="00EB04A8">
            <w:pPr>
              <w:pStyle w:val="Normlnywebov"/>
            </w:pPr>
            <w:r>
              <w:rPr>
                <w:rStyle w:val="Siln"/>
              </w:rPr>
              <w:t>Súhrnný popis</w:t>
            </w:r>
          </w:p>
        </w:tc>
      </w:tr>
      <w:tr w:rsidR="00000000">
        <w:trPr>
          <w:gridAfter w:val="2"/>
          <w:divId w:val="485634340"/>
          <w:cantSplit/>
          <w:trHeight w:val="276"/>
          <w:tblCellSpacing w:w="15" w:type="dxa"/>
        </w:trPr>
        <w:tc>
          <w:tcPr>
            <w:tcW w:w="0" w:type="auto"/>
            <w:gridSpan w:val="2"/>
            <w:vMerge w:val="restart"/>
            <w:vAlign w:val="center"/>
            <w:hideMark/>
          </w:tcPr>
          <w:p w:rsidR="00000000" w:rsidRDefault="00EB04A8">
            <w:pPr>
              <w:pStyle w:val="Normlnywebov"/>
            </w:pPr>
            <w:r>
              <w:t>Súbor prevádzkových činností, ktoré obce nezapojené do projektu DCOM musia vykonávať je široký. Od zabezpečenia pripojenia obce do internetu, cez servisovanie používanej techniky, nákup a údržbu aplikačného programového vybavenia, zálohovanie údajov, bezpe</w:t>
            </w:r>
            <w:r>
              <w:t>čnosť prevádzky. Typicky rieši obec tieto služby s viacerými dodávateľmi, resp. pri nedostatku financií nerieši vôbec.</w:t>
            </w:r>
          </w:p>
          <w:p w:rsidR="00000000" w:rsidRDefault="00EB04A8">
            <w:pPr>
              <w:pStyle w:val="Normlnywebov"/>
            </w:pPr>
            <w:r>
              <w:rPr>
                <w:rStyle w:val="Zvraznenie"/>
              </w:rPr>
              <w:t>Navyše, legislatívne požiadavky na povinnú elektronickú komunikáciu MÚS s občanmi a podnikateľmi, ktoré vstúpili do platnosti v roku 2016</w:t>
            </w:r>
            <w:r>
              <w:rPr>
                <w:rStyle w:val="Zvraznenie"/>
              </w:rPr>
              <w:t>, priniesli obciam, ďalšiu povinnosť aj do prevádzkovania ich informačných systémov. Pribudla tak zodpovednosť udržovať rozhrania na ÚPVS a referenčné registre. Ide nielen o nárast rozsahu práce, ale aj  o nárast odborných požiadaviek. Pri limitovanom rozp</w:t>
            </w:r>
            <w:r>
              <w:rPr>
                <w:rStyle w:val="Zvraznenie"/>
              </w:rPr>
              <w:t>očte menších obcí sa zabezpečenie širšieho spektra prác okolo prevádzky informačného systému obce na potrebnej odbornej úrovni stáva najmä pre menšie obce vážny problém.  </w:t>
            </w:r>
          </w:p>
        </w:tc>
      </w:tr>
      <w:tr w:rsidR="00000000">
        <w:trPr>
          <w:divId w:val="485634340"/>
          <w:cantSplit/>
          <w:tblCellSpacing w:w="15" w:type="dxa"/>
        </w:trPr>
        <w:tc>
          <w:tcPr>
            <w:tcW w:w="0" w:type="auto"/>
            <w:gridSpan w:val="2"/>
            <w:vMerge/>
            <w:vAlign w:val="center"/>
            <w:hideMark/>
          </w:tcPr>
          <w:p w:rsidR="00000000" w:rsidRDefault="00EB04A8"/>
        </w:tc>
        <w:tc>
          <w:tcPr>
            <w:tcW w:w="0" w:type="auto"/>
            <w:gridSpan w:val="2"/>
            <w:vAlign w:val="center"/>
            <w:hideMark/>
          </w:tcPr>
          <w:p w:rsidR="00000000" w:rsidRDefault="00EB04A8">
            <w:pPr>
              <w:pStyle w:val="Normlnywebov"/>
            </w:pPr>
            <w:r>
              <w:t> </w:t>
            </w:r>
          </w:p>
        </w:tc>
      </w:tr>
      <w:tr w:rsidR="00000000">
        <w:trPr>
          <w:divId w:val="485634340"/>
          <w:cantSplit/>
          <w:tblCellSpacing w:w="15" w:type="dxa"/>
        </w:trPr>
        <w:tc>
          <w:tcPr>
            <w:tcW w:w="0" w:type="auto"/>
            <w:vAlign w:val="center"/>
            <w:hideMark/>
          </w:tcPr>
          <w:p w:rsidR="00000000" w:rsidRDefault="00EB04A8">
            <w:pPr>
              <w:pStyle w:val="Normlnywebov"/>
            </w:pPr>
            <w:r>
              <w:rPr>
                <w:rStyle w:val="Siln"/>
              </w:rPr>
              <w:t>Riziká</w:t>
            </w:r>
          </w:p>
        </w:tc>
        <w:tc>
          <w:tcPr>
            <w:tcW w:w="0" w:type="auto"/>
            <w:vAlign w:val="center"/>
            <w:hideMark/>
          </w:tcPr>
          <w:p w:rsidR="00000000" w:rsidRDefault="00EB04A8">
            <w:pPr>
              <w:pStyle w:val="Normlnywebov"/>
            </w:pPr>
            <w:r>
              <w:rPr>
                <w:rStyle w:val="Siln"/>
              </w:rPr>
              <w:t>Spresnenie identifikovaných rizík:</w:t>
            </w:r>
            <w:r>
              <w:t xml:space="preserve"> </w:t>
            </w:r>
            <w:r>
              <w:rPr>
                <w:rStyle w:val="Zvraznenie"/>
              </w:rPr>
              <w:t>Odkazy na relevantné identifikátor</w:t>
            </w:r>
            <w:r>
              <w:rPr>
                <w:rStyle w:val="Zvraznenie"/>
              </w:rPr>
              <w:t>y rizík v prílohe Riziká.</w:t>
            </w:r>
          </w:p>
        </w:tc>
        <w:tc>
          <w:tcPr>
            <w:tcW w:w="0" w:type="auto"/>
            <w:vAlign w:val="center"/>
            <w:hideMark/>
          </w:tcPr>
          <w:p w:rsidR="00000000" w:rsidRDefault="00EB04A8">
            <w:pPr>
              <w:rPr>
                <w:rFonts w:eastAsia="Times New Roman"/>
                <w:sz w:val="20"/>
                <w:szCs w:val="20"/>
              </w:rPr>
            </w:pPr>
          </w:p>
        </w:tc>
        <w:tc>
          <w:tcPr>
            <w:tcW w:w="0" w:type="auto"/>
            <w:vAlign w:val="center"/>
            <w:hideMark/>
          </w:tcPr>
          <w:p w:rsidR="00000000" w:rsidRDefault="00EB04A8">
            <w:pPr>
              <w:rPr>
                <w:rFonts w:eastAsia="Times New Roman"/>
                <w:sz w:val="20"/>
                <w:szCs w:val="20"/>
              </w:rPr>
            </w:pPr>
          </w:p>
        </w:tc>
      </w:tr>
      <w:tr w:rsidR="00000000">
        <w:trPr>
          <w:divId w:val="485634340"/>
          <w:cantSplit/>
          <w:tblCellSpacing w:w="15" w:type="dxa"/>
        </w:trPr>
        <w:tc>
          <w:tcPr>
            <w:tcW w:w="0" w:type="auto"/>
            <w:gridSpan w:val="2"/>
            <w:vAlign w:val="center"/>
            <w:hideMark/>
          </w:tcPr>
          <w:p w:rsidR="00000000" w:rsidRDefault="00EB04A8">
            <w:pPr>
              <w:pStyle w:val="Normlnywebov"/>
            </w:pPr>
          </w:p>
        </w:tc>
        <w:tc>
          <w:tcPr>
            <w:tcW w:w="0" w:type="auto"/>
            <w:vAlign w:val="center"/>
            <w:hideMark/>
          </w:tcPr>
          <w:p w:rsidR="00000000" w:rsidRDefault="00EB04A8">
            <w:pPr>
              <w:rPr>
                <w:rFonts w:eastAsia="Times New Roman"/>
                <w:sz w:val="20"/>
                <w:szCs w:val="20"/>
              </w:rPr>
            </w:pPr>
          </w:p>
        </w:tc>
        <w:tc>
          <w:tcPr>
            <w:tcW w:w="0" w:type="auto"/>
            <w:vAlign w:val="center"/>
            <w:hideMark/>
          </w:tcPr>
          <w:p w:rsidR="00000000" w:rsidRDefault="00EB04A8">
            <w:pPr>
              <w:rPr>
                <w:rFonts w:eastAsia="Times New Roman"/>
                <w:sz w:val="20"/>
                <w:szCs w:val="20"/>
              </w:rPr>
            </w:pPr>
          </w:p>
        </w:tc>
      </w:tr>
      <w:tr w:rsidR="00000000">
        <w:trPr>
          <w:divId w:val="485634340"/>
          <w:cantSplit/>
          <w:tblCellSpacing w:w="15" w:type="dxa"/>
        </w:trPr>
        <w:tc>
          <w:tcPr>
            <w:tcW w:w="0" w:type="auto"/>
            <w:vAlign w:val="center"/>
            <w:hideMark/>
          </w:tcPr>
          <w:p w:rsidR="00000000" w:rsidRDefault="00EB04A8">
            <w:pPr>
              <w:pStyle w:val="Normlnywebov"/>
            </w:pPr>
            <w:r>
              <w:rPr>
                <w:rStyle w:val="Siln"/>
              </w:rPr>
              <w:t>Prílohy</w:t>
            </w:r>
          </w:p>
        </w:tc>
        <w:tc>
          <w:tcPr>
            <w:tcW w:w="0" w:type="auto"/>
            <w:vAlign w:val="center"/>
            <w:hideMark/>
          </w:tcPr>
          <w:p w:rsidR="00000000" w:rsidRDefault="00EB04A8">
            <w:pPr>
              <w:pStyle w:val="Normlnywebov"/>
            </w:pPr>
            <w:r>
              <w:rPr>
                <w:rStyle w:val="Siln"/>
              </w:rPr>
              <w:t>Diagramy, modely, obrázky v plnom rozlíšení</w:t>
            </w:r>
          </w:p>
        </w:tc>
        <w:tc>
          <w:tcPr>
            <w:tcW w:w="0" w:type="auto"/>
            <w:vAlign w:val="center"/>
            <w:hideMark/>
          </w:tcPr>
          <w:p w:rsidR="00000000" w:rsidRDefault="00EB04A8">
            <w:pPr>
              <w:rPr>
                <w:rFonts w:eastAsia="Times New Roman"/>
                <w:sz w:val="20"/>
                <w:szCs w:val="20"/>
              </w:rPr>
            </w:pPr>
          </w:p>
        </w:tc>
        <w:tc>
          <w:tcPr>
            <w:tcW w:w="0" w:type="auto"/>
            <w:vAlign w:val="center"/>
            <w:hideMark/>
          </w:tcPr>
          <w:p w:rsidR="00000000" w:rsidRDefault="00EB04A8">
            <w:pPr>
              <w:rPr>
                <w:rFonts w:eastAsia="Times New Roman"/>
                <w:sz w:val="20"/>
                <w:szCs w:val="20"/>
              </w:rPr>
            </w:pPr>
          </w:p>
        </w:tc>
      </w:tr>
      <w:tr w:rsidR="00000000">
        <w:trPr>
          <w:divId w:val="485634340"/>
          <w:cantSplit/>
          <w:tblCellSpacing w:w="15" w:type="dxa"/>
        </w:trPr>
        <w:tc>
          <w:tcPr>
            <w:tcW w:w="0" w:type="auto"/>
            <w:vAlign w:val="center"/>
            <w:hideMark/>
          </w:tcPr>
          <w:p w:rsidR="00000000" w:rsidRDefault="00EB04A8">
            <w:pPr>
              <w:pStyle w:val="Normlnywebov"/>
            </w:pPr>
            <w:r>
              <w:t>Tabuľka 2 Riziká</w:t>
            </w:r>
          </w:p>
        </w:tc>
        <w:tc>
          <w:tcPr>
            <w:tcW w:w="0" w:type="auto"/>
            <w:vAlign w:val="center"/>
            <w:hideMark/>
          </w:tcPr>
          <w:p w:rsidR="00000000" w:rsidRDefault="00EB04A8">
            <w:pPr>
              <w:pStyle w:val="Normlnywebov"/>
            </w:pPr>
            <w:r>
              <w:rPr>
                <w:rStyle w:val="Zvraznenie"/>
              </w:rPr>
              <w:t>Odkazy na relevantné súbory. Prílohy obsahujú informácie vo forme modelov.</w:t>
            </w:r>
          </w:p>
        </w:tc>
        <w:tc>
          <w:tcPr>
            <w:tcW w:w="0" w:type="auto"/>
            <w:vAlign w:val="center"/>
            <w:hideMark/>
          </w:tcPr>
          <w:p w:rsidR="00000000" w:rsidRDefault="00EB04A8">
            <w:pPr>
              <w:rPr>
                <w:rFonts w:eastAsia="Times New Roman"/>
                <w:sz w:val="20"/>
                <w:szCs w:val="20"/>
              </w:rPr>
            </w:pPr>
          </w:p>
        </w:tc>
        <w:tc>
          <w:tcPr>
            <w:tcW w:w="0" w:type="auto"/>
            <w:vAlign w:val="center"/>
            <w:hideMark/>
          </w:tcPr>
          <w:p w:rsidR="00000000" w:rsidRDefault="00EB04A8">
            <w:pPr>
              <w:rPr>
                <w:rFonts w:eastAsia="Times New Roman"/>
                <w:sz w:val="20"/>
                <w:szCs w:val="20"/>
              </w:rPr>
            </w:pPr>
          </w:p>
        </w:tc>
      </w:tr>
    </w:tbl>
    <w:p w:rsidR="00000000" w:rsidRDefault="00EB04A8">
      <w:pPr>
        <w:pStyle w:val="Nadpis2"/>
        <w:rPr>
          <w:rFonts w:eastAsia="Times New Roman"/>
        </w:rPr>
      </w:pPr>
      <w:r>
        <w:rPr>
          <w:rFonts w:eastAsia="Times New Roman"/>
        </w:rPr>
        <w:t>2.</w:t>
      </w:r>
      <w:r>
        <w:rPr>
          <w:rFonts w:eastAsia="Times New Roman"/>
        </w:rPr>
        <w:t>3</w:t>
      </w:r>
      <w:r>
        <w:rPr>
          <w:rStyle w:val="inline-comment-marker"/>
          <w:rFonts w:eastAsia="Times New Roman"/>
        </w:rPr>
        <w:t>. Alternatívne riešeni</w:t>
      </w:r>
      <w:r>
        <w:rPr>
          <w:rStyle w:val="inline-comment-marker"/>
          <w:rFonts w:eastAsia="Times New Roman"/>
        </w:rPr>
        <w:t>a</w:t>
      </w:r>
    </w:p>
    <w:p w:rsidR="00000000" w:rsidRDefault="00EB04A8">
      <w:pPr>
        <w:pStyle w:val="Normlnywebov"/>
      </w:pPr>
    </w:p>
    <w:p w:rsidR="00000000" w:rsidRDefault="00EB04A8">
      <w:pPr>
        <w:pStyle w:val="Normlnywebov"/>
      </w:pPr>
      <w:r>
        <w:rPr>
          <w:rStyle w:val="Siln"/>
        </w:rPr>
        <w:t xml:space="preserve">Multikriteriálna analýza  </w:t>
      </w:r>
    </w:p>
    <w:p w:rsidR="00000000" w:rsidRDefault="00EB04A8">
      <w:pPr>
        <w:pStyle w:val="Normlnywebov"/>
      </w:pPr>
      <w:r>
        <w:t>V </w:t>
      </w:r>
      <w:r>
        <w:t>súvislosti s migráciou IS obcí do vládneho cloudu a plošným rozšírením IS DCOM v rámci druhej etapy boli zvažované tri možné alternatívy.</w:t>
      </w:r>
    </w:p>
    <w:p w:rsidR="00000000" w:rsidRDefault="00EB04A8">
      <w:pPr>
        <w:pStyle w:val="Normlnywebov"/>
      </w:pPr>
      <w:r>
        <w:rPr>
          <w:rStyle w:val="Siln"/>
        </w:rPr>
        <w:t>Alternatíva 1 – Posilnenie výpočtovej kapacity DC Kopčianska/Cintorínska</w:t>
      </w:r>
    </w:p>
    <w:p w:rsidR="00000000" w:rsidRDefault="00EB04A8">
      <w:pPr>
        <w:pStyle w:val="Normlnywebov"/>
      </w:pPr>
      <w:r>
        <w:t>Riešenie spočíva v jednoduchom rozšírení kapa</w:t>
      </w:r>
      <w:r>
        <w:t>city existujúcich dátových centier DCOM. Technická náročnosť jeho implementácie je relatívne nízka, keďže by išlo len o rozšírenie výpočtových a storage zdrojov s príslušnými softvérovými licenciami. Dopad na koncového užívateľa je v tomto prípade minimáln</w:t>
      </w:r>
      <w:r>
        <w:t>y. Toto riešenie však nespĺňa požiadavku strategickej priority na využívanie vládneho cloudu definovanej v NKIVS a nadväzujúcich dokumentoch, ktorých stav už reflektujú aj právne predpisy. Rozvoj technologicky iného cloudového riešenia popri vládnom cloude</w:t>
      </w:r>
      <w:r>
        <w:t xml:space="preserve"> je z pohľadu verejných financií zároveň nevýhodné. Tento stav vedie k migrácii do vládneho cloudu po skončení trvalej udržateľnosti projektu v rámci tejto alternatívy (po roku 2020). Keďže migrácia do vládneho cloudu je z dlhodobého hľadiska nevyhnutná, i</w:t>
      </w:r>
      <w:r>
        <w:t>šlo by teda len o odloženie migrácie riešenia do času, keď bude centrálna výpočtová kapacita mohutnejšia a prípadné prevádzkové dopady menej vážnejšie.</w:t>
      </w:r>
    </w:p>
    <w:p w:rsidR="00000000" w:rsidRDefault="00EB04A8">
      <w:pPr>
        <w:pStyle w:val="Normlnywebov"/>
      </w:pPr>
      <w:r>
        <w:rPr>
          <w:rStyle w:val="Siln"/>
        </w:rPr>
        <w:t>Alternatíva 2 – Jednokroková migrácia IS obcí do vládneho cloudu</w:t>
      </w:r>
    </w:p>
    <w:p w:rsidR="00000000" w:rsidRDefault="00EB04A8">
      <w:pPr>
        <w:pStyle w:val="Normlnywebov"/>
      </w:pPr>
      <w:r>
        <w:t>V tomto riešení uvažujeme v zásade o je</w:t>
      </w:r>
      <w:r>
        <w:t xml:space="preserve">dnokrokovej migrácii obidvoch dátových centier do vládneho cloudu (v oboch lokalitách). Keďže dnes neexistuje takmer žiadna reálna skúsenosť s cloud platformou vládneho cloudu (výkon, stabilita, a pod.) a navyše je iná ako platforma v DCOM, je to významné </w:t>
      </w:r>
      <w:r>
        <w:t>technologické riziko aj s potenciálne vysokým dopadom na užívateľov. Keďže migrácia by sa musela zrealizovať ešte pred skončením prevádzkového projektu, veľká časť doterajších investícií z OPIS projektu v technologickej časti by bola znehodnotená.  Popri t</w:t>
      </w:r>
      <w:r>
        <w:t>om by boli potrebné aj väčšie investície do rozšírenia kapacity vládneho cloudu.</w:t>
      </w:r>
    </w:p>
    <w:p w:rsidR="00000000" w:rsidRDefault="00EB04A8">
      <w:pPr>
        <w:pStyle w:val="Normlnywebov"/>
      </w:pPr>
      <w:r>
        <w:rPr>
          <w:rStyle w:val="Siln"/>
        </w:rPr>
        <w:t>Alternatíva 3 – Dvojkroková migrácia IS obcí do vládneho cloudu</w:t>
      </w:r>
    </w:p>
    <w:p w:rsidR="00000000" w:rsidRDefault="00EB04A8">
      <w:pPr>
        <w:pStyle w:val="Normlnywebov"/>
      </w:pPr>
      <w:r>
        <w:t>V tomto riešení nie je potrebné kupovať novú výpočtovú kapacitu a diskový priestor. Záložný systém IS DCOM (v z</w:t>
      </w:r>
      <w:r>
        <w:t>áložnej lokalite DC Cintorínska) sa nainštaluje do vládneho cloudu MV SR (v lokalite Tajov) a uvoľnená kapacita sa použije pre rozšírenie kapacity primárnej lokality DCOM. Prevádzka primárnej lokality DCOM bude pokračovať na existujúcich technológiách.</w:t>
      </w:r>
    </w:p>
    <w:p w:rsidR="00000000" w:rsidRDefault="00EB04A8">
      <w:pPr>
        <w:pStyle w:val="Normlnywebov"/>
      </w:pPr>
      <w:r>
        <w:t xml:space="preserve">Po </w:t>
      </w:r>
      <w:r>
        <w:t>ukončení prevádzkového projektu DCOM (udržateľnosť OPIS projektu sa vyžaduje konca roku 2020) sa následne urobí migrácia primárnej lokality IS DCOM do vládneho cloudu. Do roku 2020 sa získajú skúsenosti s prevádzkovaním záložného systému IS DCOM vo vládnom</w:t>
      </w:r>
      <w:r>
        <w:t xml:space="preserve"> cloude, na základe ktorých sa vypracuje detailný postup a časový harmonogram migrácie primárnej lokality. Taktiež predpokladáme, že vládny cloud v tomto časovom období rozšíri svoju funkcionalitu a kapacitu tak, aby IS DCOM na ňom mohol byť efektívne prev</w:t>
      </w:r>
      <w:r>
        <w:t>ádzkovaný.</w:t>
      </w:r>
    </w:p>
    <w:p w:rsidR="00000000" w:rsidRDefault="00EB04A8">
      <w:pPr>
        <w:pStyle w:val="Normlnywebov"/>
      </w:pPr>
      <w:r>
        <w:rPr>
          <w:rStyle w:val="inline-comment-marker"/>
        </w:rPr>
        <w:t> </w:t>
      </w:r>
    </w:p>
    <w:p w:rsidR="00000000" w:rsidRDefault="00EB04A8">
      <w:pPr>
        <w:pStyle w:val="Normlnywebov"/>
      </w:pPr>
      <w:r>
        <w:rPr>
          <w:rStyle w:val="inline-comment-marker"/>
        </w:rPr>
        <w:t> </w:t>
      </w:r>
      <w:r>
        <w:rPr>
          <w:rStyle w:val="inline-comment-marker"/>
        </w:rPr>
        <w:t>Obrázok 9 - Finálny stav riešeni</w:t>
      </w:r>
      <w:r>
        <w:rPr>
          <w:rStyle w:val="inline-comment-marker"/>
        </w:rPr>
        <w:t>a</w:t>
      </w:r>
    </w:p>
    <w:p w:rsidR="00000000" w:rsidRDefault="00EB04A8">
      <w:pPr>
        <w:pStyle w:val="Normlnywebov"/>
      </w:pPr>
      <w:r>
        <w:rPr>
          <w:noProof/>
        </w:rPr>
        <w:drawing>
          <wp:inline distT="0" distB="0" distL="0" distR="0">
            <wp:extent cx="4457700" cy="1341120"/>
            <wp:effectExtent l="0" t="0" r="0" b="0"/>
            <wp:docPr id="10" name="Obrázok 10" descr="C:\1a48a51ee4ef69e9e05a6823b6f3b9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1a48a51ee4ef69e9e05a6823b6f3b9d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57700" cy="1341120"/>
                    </a:xfrm>
                    <a:prstGeom prst="rect">
                      <a:avLst/>
                    </a:prstGeom>
                    <a:noFill/>
                    <a:ln>
                      <a:noFill/>
                    </a:ln>
                  </pic:spPr>
                </pic:pic>
              </a:graphicData>
            </a:graphic>
          </wp:inline>
        </w:drawing>
      </w:r>
    </w:p>
    <w:p w:rsidR="00000000" w:rsidRDefault="00EB04A8">
      <w:pPr>
        <w:pStyle w:val="Normlnywebov"/>
      </w:pPr>
      <w:r>
        <w:rPr>
          <w:rStyle w:val="Zvraznenie"/>
          <w:b/>
          <w:bCs/>
        </w:rPr>
        <w:t>Popis obrázka:</w:t>
      </w:r>
      <w:r>
        <w:rPr>
          <w:rStyle w:val="Zvraznenie"/>
        </w:rPr>
        <w:t xml:space="preserve"> V ľavej časti obrázka sa nachádza schéma sl</w:t>
      </w:r>
      <w:r>
        <w:rPr>
          <w:rStyle w:val="Zvraznenie"/>
        </w:rPr>
        <w:t>užieb poskytovaných DCOM cloudom v primárnom centre. Tmavomodrou sú označené služby hardvérovej platformy, ktoré aktuálne poskytuje DCOM cloud v primárnom centre. Zelenou je označená uvoľnená výpočtová kapacita, ktorá ostane po migrácii záložného centra DC</w:t>
      </w:r>
      <w:r>
        <w:rPr>
          <w:rStyle w:val="Zvraznenie"/>
        </w:rPr>
        <w:t>OM z Cintorínskej do vládneho cloudu v Tajove k dispozícii pre primárne centrum na Kopčianskej a bude tam presunutá</w:t>
      </w:r>
      <w:r>
        <w:rPr>
          <w:rStyle w:val="Zvraznenie"/>
        </w:rPr>
        <w:t>.</w:t>
      </w:r>
      <w:r>
        <w:rPr>
          <w:rStyle w:val="Zvraznenie"/>
        </w:rPr>
        <w:t>V pravej časti sa nachádza schéma služieb poskytovaných vládnym cloudom pre záložné centrum DCOM. Oranžovou sú označené služby, ktoré záložn</w:t>
      </w:r>
      <w:r>
        <w:rPr>
          <w:rStyle w:val="Zvraznenie"/>
        </w:rPr>
        <w:t>ému DCOM cloudu poskytne vládny cloud. Zelenou sú označené tie časti záložného centra DCOM cloudu, ktoré budú prenesené z Cintorínskej a inštalované do vládneho cloudu</w:t>
      </w:r>
      <w:r>
        <w:rPr>
          <w:rStyle w:val="Zvraznenie"/>
        </w:rPr>
        <w:t>.</w:t>
      </w:r>
    </w:p>
    <w:p w:rsidR="00000000" w:rsidRDefault="00EB04A8">
      <w:pPr>
        <w:pStyle w:val="Normlnywebov"/>
      </w:pPr>
      <w:r>
        <w:rPr>
          <w:rStyle w:val="Siln"/>
          <w:i/>
          <w:iCs/>
        </w:rPr>
        <w:t>Porovnanie zvažovaných alternatí</w:t>
      </w:r>
      <w:r>
        <w:rPr>
          <w:rStyle w:val="Siln"/>
          <w:i/>
          <w:iCs/>
        </w:rPr>
        <w:t>v</w:t>
      </w:r>
    </w:p>
    <w:p w:rsidR="00000000" w:rsidRDefault="00EB04A8">
      <w:pPr>
        <w:pStyle w:val="Normlnywebov"/>
      </w:pPr>
      <w:r>
        <w:t>Vyššie uvedené alternatívne možnosti posilnenia centrálnej výpočtovej kapacity projektu DCOM sme pre prehľadnosť porovnali prostredníctvom štyroch kritérií. </w:t>
      </w:r>
    </w:p>
    <w:p w:rsidR="00000000" w:rsidRDefault="00EB04A8">
      <w:pPr>
        <w:pStyle w:val="Normlnywebov"/>
      </w:pPr>
      <w:r>
        <w:t>Tabuľka 9.1  Výhody a nevýhody jednotlivých alternatív. </w:t>
      </w:r>
    </w:p>
    <w:p w:rsidR="00000000" w:rsidRDefault="00EB04A8">
      <w:pPr>
        <w:pStyle w:val="Normlnywebov"/>
      </w:pPr>
      <w:r>
        <w:t> </w:t>
      </w:r>
    </w:p>
    <w:p w:rsidR="00000000" w:rsidRDefault="00EB04A8">
      <w:pPr>
        <w:pStyle w:val="Normlnywebov"/>
      </w:pPr>
      <w:r>
        <w:t> </w:t>
      </w:r>
    </w:p>
    <w:p w:rsidR="00000000" w:rsidRDefault="00EB04A8">
      <w:pPr>
        <w:pStyle w:val="Normlnywebov"/>
        <w:jc w:val="center"/>
      </w:pPr>
      <w:r>
        <w:t> </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3135"/>
        <w:gridCol w:w="1604"/>
        <w:gridCol w:w="2363"/>
        <w:gridCol w:w="2258"/>
      </w:tblGrid>
      <w:tr w:rsidR="00000000">
        <w:trPr>
          <w:divId w:val="1742167418"/>
          <w:cantSplit/>
          <w:tblCellSpacing w:w="15" w:type="dxa"/>
          <w:jc w:val="center"/>
        </w:trPr>
        <w:tc>
          <w:tcPr>
            <w:tcW w:w="0" w:type="auto"/>
            <w:vAlign w:val="center"/>
            <w:hideMark/>
          </w:tcPr>
          <w:p w:rsidR="00000000" w:rsidRDefault="00EB04A8">
            <w:pPr>
              <w:pStyle w:val="Normlnywebov"/>
            </w:pPr>
            <w:r>
              <w:rPr>
                <w:rStyle w:val="Siln"/>
              </w:rPr>
              <w:t> </w:t>
            </w:r>
          </w:p>
        </w:tc>
        <w:tc>
          <w:tcPr>
            <w:tcW w:w="0" w:type="auto"/>
            <w:vAlign w:val="center"/>
            <w:hideMark/>
          </w:tcPr>
          <w:p w:rsidR="00000000" w:rsidRDefault="00EB04A8">
            <w:pPr>
              <w:pStyle w:val="Normlnywebov"/>
              <w:jc w:val="center"/>
            </w:pPr>
            <w:r>
              <w:rPr>
                <w:rStyle w:val="Siln"/>
              </w:rPr>
              <w:t>Posilnenie</w:t>
            </w:r>
          </w:p>
          <w:p w:rsidR="00000000" w:rsidRDefault="00EB04A8">
            <w:pPr>
              <w:pStyle w:val="Normlnywebov"/>
              <w:jc w:val="center"/>
            </w:pPr>
            <w:r>
              <w:rPr>
                <w:rStyle w:val="Siln"/>
              </w:rPr>
              <w:t>kapacity   DC</w:t>
            </w:r>
          </w:p>
        </w:tc>
        <w:tc>
          <w:tcPr>
            <w:tcW w:w="0" w:type="auto"/>
            <w:gridSpan w:val="2"/>
            <w:vAlign w:val="center"/>
            <w:hideMark/>
          </w:tcPr>
          <w:p w:rsidR="00000000" w:rsidRDefault="00EB04A8">
            <w:pPr>
              <w:pStyle w:val="Normlnywebov"/>
              <w:jc w:val="center"/>
            </w:pPr>
            <w:r>
              <w:rPr>
                <w:rStyle w:val="Siln"/>
              </w:rPr>
              <w:t> </w:t>
            </w:r>
          </w:p>
          <w:p w:rsidR="00000000" w:rsidRDefault="00EB04A8">
            <w:pPr>
              <w:pStyle w:val="Normlnywebov"/>
              <w:jc w:val="center"/>
            </w:pPr>
            <w:r>
              <w:rPr>
                <w:rStyle w:val="Siln"/>
              </w:rPr>
              <w:t>Posilnenie   vládneho cloudu</w:t>
            </w:r>
          </w:p>
        </w:tc>
      </w:tr>
      <w:tr w:rsidR="00000000">
        <w:trPr>
          <w:divId w:val="1742167418"/>
          <w:cantSplit/>
          <w:tblCellSpacing w:w="15" w:type="dxa"/>
          <w:jc w:val="center"/>
        </w:trPr>
        <w:tc>
          <w:tcPr>
            <w:tcW w:w="0" w:type="auto"/>
            <w:vAlign w:val="center"/>
            <w:hideMark/>
          </w:tcPr>
          <w:p w:rsidR="00000000" w:rsidRDefault="00EB04A8">
            <w:pPr>
              <w:pStyle w:val="Normlnywebov"/>
            </w:pPr>
            <w:r>
              <w:rPr>
                <w:rStyle w:val="Siln"/>
              </w:rPr>
              <w:t> </w:t>
            </w:r>
          </w:p>
          <w:p w:rsidR="00000000" w:rsidRDefault="00EB04A8">
            <w:pPr>
              <w:pStyle w:val="Normlnywebov"/>
            </w:pPr>
            <w:r>
              <w:rPr>
                <w:rStyle w:val="Siln"/>
              </w:rPr>
              <w:t>Kritéria</w:t>
            </w:r>
          </w:p>
        </w:tc>
        <w:tc>
          <w:tcPr>
            <w:tcW w:w="0" w:type="auto"/>
            <w:vAlign w:val="center"/>
            <w:hideMark/>
          </w:tcPr>
          <w:p w:rsidR="00000000" w:rsidRDefault="00EB04A8">
            <w:pPr>
              <w:pStyle w:val="Normlnywebov"/>
              <w:jc w:val="center"/>
            </w:pPr>
            <w:r>
              <w:rPr>
                <w:rStyle w:val="Siln"/>
              </w:rPr>
              <w:t> </w:t>
            </w:r>
          </w:p>
          <w:p w:rsidR="00000000" w:rsidRDefault="00EB04A8">
            <w:pPr>
              <w:pStyle w:val="Normlnywebov"/>
              <w:jc w:val="center"/>
            </w:pPr>
            <w:r>
              <w:rPr>
                <w:rStyle w:val="Siln"/>
              </w:rPr>
              <w:t>1.   Bez migrácie</w:t>
            </w:r>
          </w:p>
        </w:tc>
        <w:tc>
          <w:tcPr>
            <w:tcW w:w="0" w:type="auto"/>
            <w:vAlign w:val="center"/>
            <w:hideMark/>
          </w:tcPr>
          <w:p w:rsidR="00000000" w:rsidRDefault="00EB04A8">
            <w:pPr>
              <w:pStyle w:val="Normlnywebov"/>
              <w:jc w:val="center"/>
            </w:pPr>
            <w:r>
              <w:rPr>
                <w:rStyle w:val="Siln"/>
              </w:rPr>
              <w:t>2.   Jednokroková migrácia</w:t>
            </w:r>
          </w:p>
        </w:tc>
        <w:tc>
          <w:tcPr>
            <w:tcW w:w="0" w:type="auto"/>
            <w:vAlign w:val="center"/>
            <w:hideMark/>
          </w:tcPr>
          <w:p w:rsidR="00000000" w:rsidRDefault="00EB04A8">
            <w:pPr>
              <w:pStyle w:val="Normlnywebov"/>
              <w:jc w:val="center"/>
            </w:pPr>
            <w:r>
              <w:rPr>
                <w:rStyle w:val="Siln"/>
              </w:rPr>
              <w:t>3.   Dvojkroková migrácia</w:t>
            </w:r>
          </w:p>
        </w:tc>
      </w:tr>
      <w:tr w:rsidR="00000000">
        <w:trPr>
          <w:divId w:val="1742167418"/>
          <w:cantSplit/>
          <w:tblCellSpacing w:w="15" w:type="dxa"/>
          <w:jc w:val="center"/>
        </w:trPr>
        <w:tc>
          <w:tcPr>
            <w:tcW w:w="0" w:type="auto"/>
            <w:vAlign w:val="center"/>
            <w:hideMark/>
          </w:tcPr>
          <w:p w:rsidR="00000000" w:rsidRDefault="00EB04A8">
            <w:pPr>
              <w:pStyle w:val="Normlnywebov"/>
            </w:pPr>
            <w:r>
              <w:rPr>
                <w:rStyle w:val="Zvraznenie"/>
                <w:b/>
                <w:bCs/>
              </w:rPr>
              <w:t>1. Udržateľnosť doterajších investícií OPIS</w:t>
            </w:r>
          </w:p>
        </w:tc>
        <w:tc>
          <w:tcPr>
            <w:tcW w:w="0" w:type="auto"/>
            <w:vAlign w:val="center"/>
            <w:hideMark/>
          </w:tcPr>
          <w:p w:rsidR="00000000" w:rsidRDefault="00EB04A8">
            <w:pPr>
              <w:pStyle w:val="Normlnywebov"/>
              <w:jc w:val="center"/>
            </w:pPr>
            <w:r>
              <w:rPr>
                <w:rStyle w:val="Zvraznenie"/>
                <w:b/>
                <w:bCs/>
              </w:rPr>
              <w:t>Áno</w:t>
            </w:r>
          </w:p>
        </w:tc>
        <w:tc>
          <w:tcPr>
            <w:tcW w:w="0" w:type="auto"/>
            <w:vAlign w:val="center"/>
            <w:hideMark/>
          </w:tcPr>
          <w:p w:rsidR="00000000" w:rsidRDefault="00EB04A8">
            <w:pPr>
              <w:pStyle w:val="Normlnywebov"/>
              <w:jc w:val="center"/>
            </w:pPr>
            <w:r>
              <w:rPr>
                <w:rStyle w:val="Zvraznenie"/>
                <w:b/>
                <w:bCs/>
              </w:rPr>
              <w:t>Nie</w:t>
            </w:r>
          </w:p>
        </w:tc>
        <w:tc>
          <w:tcPr>
            <w:tcW w:w="0" w:type="auto"/>
            <w:vAlign w:val="center"/>
            <w:hideMark/>
          </w:tcPr>
          <w:p w:rsidR="00000000" w:rsidRDefault="00EB04A8">
            <w:pPr>
              <w:pStyle w:val="Normlnywebov"/>
              <w:jc w:val="center"/>
            </w:pPr>
            <w:r>
              <w:rPr>
                <w:rStyle w:val="Zvraznenie"/>
                <w:b/>
                <w:bCs/>
              </w:rPr>
              <w:t>Áno</w:t>
            </w:r>
          </w:p>
        </w:tc>
      </w:tr>
      <w:tr w:rsidR="00000000">
        <w:trPr>
          <w:divId w:val="1742167418"/>
          <w:cantSplit/>
          <w:tblCellSpacing w:w="15" w:type="dxa"/>
          <w:jc w:val="center"/>
        </w:trPr>
        <w:tc>
          <w:tcPr>
            <w:tcW w:w="0" w:type="auto"/>
            <w:vAlign w:val="center"/>
            <w:hideMark/>
          </w:tcPr>
          <w:p w:rsidR="00000000" w:rsidRDefault="00EB04A8">
            <w:pPr>
              <w:pStyle w:val="Normlnywebov"/>
            </w:pPr>
            <w:r>
              <w:rPr>
                <w:rStyle w:val="Zvraznenie"/>
                <w:b/>
                <w:bCs/>
              </w:rPr>
              <w:t>2. Súlad so stratégiou verejnej správy</w:t>
            </w:r>
          </w:p>
        </w:tc>
        <w:tc>
          <w:tcPr>
            <w:tcW w:w="0" w:type="auto"/>
            <w:vAlign w:val="center"/>
            <w:hideMark/>
          </w:tcPr>
          <w:p w:rsidR="00000000" w:rsidRDefault="00EB04A8">
            <w:pPr>
              <w:pStyle w:val="Normlnywebov"/>
              <w:jc w:val="center"/>
            </w:pPr>
            <w:r>
              <w:rPr>
                <w:rStyle w:val="Zvraznenie"/>
                <w:b/>
                <w:bCs/>
              </w:rPr>
              <w:t>Nie</w:t>
            </w:r>
          </w:p>
        </w:tc>
        <w:tc>
          <w:tcPr>
            <w:tcW w:w="0" w:type="auto"/>
            <w:vAlign w:val="center"/>
            <w:hideMark/>
          </w:tcPr>
          <w:p w:rsidR="00000000" w:rsidRDefault="00EB04A8">
            <w:pPr>
              <w:pStyle w:val="Normlnywebov"/>
              <w:jc w:val="center"/>
            </w:pPr>
            <w:r>
              <w:rPr>
                <w:rStyle w:val="Zvraznenie"/>
                <w:b/>
                <w:bCs/>
              </w:rPr>
              <w:t>Áno</w:t>
            </w:r>
          </w:p>
        </w:tc>
        <w:tc>
          <w:tcPr>
            <w:tcW w:w="0" w:type="auto"/>
            <w:vAlign w:val="center"/>
            <w:hideMark/>
          </w:tcPr>
          <w:p w:rsidR="00000000" w:rsidRDefault="00EB04A8">
            <w:pPr>
              <w:pStyle w:val="Normlnywebov"/>
              <w:jc w:val="center"/>
            </w:pPr>
            <w:r>
              <w:rPr>
                <w:rStyle w:val="Zvraznenie"/>
                <w:b/>
                <w:bCs/>
              </w:rPr>
              <w:t>Áno</w:t>
            </w:r>
          </w:p>
        </w:tc>
      </w:tr>
      <w:tr w:rsidR="00000000">
        <w:trPr>
          <w:divId w:val="1742167418"/>
          <w:cantSplit/>
          <w:tblCellSpacing w:w="15" w:type="dxa"/>
          <w:jc w:val="center"/>
        </w:trPr>
        <w:tc>
          <w:tcPr>
            <w:tcW w:w="0" w:type="auto"/>
            <w:vAlign w:val="center"/>
            <w:hideMark/>
          </w:tcPr>
          <w:p w:rsidR="00000000" w:rsidRDefault="00EB04A8">
            <w:pPr>
              <w:pStyle w:val="Normlnywebov"/>
            </w:pPr>
            <w:r>
              <w:t>3. Technologická pripravenosť/riziká</w:t>
            </w:r>
          </w:p>
        </w:tc>
        <w:tc>
          <w:tcPr>
            <w:tcW w:w="0" w:type="auto"/>
            <w:vAlign w:val="center"/>
            <w:hideMark/>
          </w:tcPr>
          <w:p w:rsidR="00000000" w:rsidRDefault="00EB04A8">
            <w:pPr>
              <w:pStyle w:val="Normlnywebov"/>
              <w:jc w:val="center"/>
            </w:pPr>
            <w:r>
              <w:t>Pozitívna</w:t>
            </w:r>
          </w:p>
        </w:tc>
        <w:tc>
          <w:tcPr>
            <w:tcW w:w="0" w:type="auto"/>
            <w:vAlign w:val="center"/>
            <w:hideMark/>
          </w:tcPr>
          <w:p w:rsidR="00000000" w:rsidRDefault="00EB04A8">
            <w:pPr>
              <w:pStyle w:val="Normlnywebov"/>
              <w:jc w:val="center"/>
            </w:pPr>
            <w:r>
              <w:t>Negatívna</w:t>
            </w:r>
          </w:p>
        </w:tc>
        <w:tc>
          <w:tcPr>
            <w:tcW w:w="0" w:type="auto"/>
            <w:vAlign w:val="center"/>
            <w:hideMark/>
          </w:tcPr>
          <w:p w:rsidR="00000000" w:rsidRDefault="00EB04A8">
            <w:pPr>
              <w:pStyle w:val="Normlnywebov"/>
              <w:jc w:val="center"/>
            </w:pPr>
            <w:r>
              <w:t>Neutrálna</w:t>
            </w:r>
          </w:p>
        </w:tc>
      </w:tr>
      <w:tr w:rsidR="00000000">
        <w:trPr>
          <w:divId w:val="1742167418"/>
          <w:cantSplit/>
          <w:tblCellSpacing w:w="15" w:type="dxa"/>
          <w:jc w:val="center"/>
        </w:trPr>
        <w:tc>
          <w:tcPr>
            <w:tcW w:w="0" w:type="auto"/>
            <w:vAlign w:val="center"/>
            <w:hideMark/>
          </w:tcPr>
          <w:p w:rsidR="00000000" w:rsidRDefault="00EB04A8">
            <w:pPr>
              <w:pStyle w:val="Normlnywebov"/>
            </w:pPr>
            <w:r>
              <w:t>4. Celkové náklady na migráciu</w:t>
            </w:r>
          </w:p>
        </w:tc>
        <w:tc>
          <w:tcPr>
            <w:tcW w:w="0" w:type="auto"/>
            <w:vAlign w:val="center"/>
            <w:hideMark/>
          </w:tcPr>
          <w:p w:rsidR="00000000" w:rsidRDefault="00EB04A8">
            <w:pPr>
              <w:pStyle w:val="Normlnywebov"/>
              <w:jc w:val="center"/>
            </w:pPr>
            <w:r>
              <w:t>Navýšené</w:t>
            </w:r>
          </w:p>
        </w:tc>
        <w:tc>
          <w:tcPr>
            <w:tcW w:w="0" w:type="auto"/>
            <w:vAlign w:val="center"/>
            <w:hideMark/>
          </w:tcPr>
          <w:p w:rsidR="00000000" w:rsidRDefault="00EB04A8">
            <w:pPr>
              <w:pStyle w:val="Normlnywebov"/>
              <w:jc w:val="center"/>
            </w:pPr>
            <w:r>
              <w:t>Navýšené</w:t>
            </w:r>
          </w:p>
        </w:tc>
        <w:tc>
          <w:tcPr>
            <w:tcW w:w="0" w:type="auto"/>
            <w:vAlign w:val="center"/>
            <w:hideMark/>
          </w:tcPr>
          <w:p w:rsidR="00000000" w:rsidRDefault="00EB04A8">
            <w:pPr>
              <w:pStyle w:val="Normlnywebov"/>
              <w:jc w:val="center"/>
            </w:pPr>
            <w:r>
              <w:t>Neutrálne</w:t>
            </w:r>
          </w:p>
        </w:tc>
      </w:tr>
    </w:tbl>
    <w:p w:rsidR="00000000" w:rsidRDefault="00EB04A8">
      <w:pPr>
        <w:pStyle w:val="Normlnywebov"/>
        <w:jc w:val="center"/>
      </w:pPr>
      <w:r>
        <w:t> </w:t>
      </w:r>
      <w:r>
        <w:rPr>
          <w:rStyle w:val="Zvraznenie"/>
        </w:rPr>
        <w:t>Poznámka: zvýraznený text je použitý pre obmedzenia/KO kritériá</w:t>
      </w:r>
      <w:r>
        <w:t>.</w:t>
      </w:r>
    </w:p>
    <w:p w:rsidR="00000000" w:rsidRDefault="00EB04A8">
      <w:pPr>
        <w:pStyle w:val="Nadpis2"/>
        <w:rPr>
          <w:rFonts w:eastAsia="Times New Roman"/>
        </w:rPr>
      </w:pPr>
      <w:r>
        <w:rPr>
          <w:rStyle w:val="inline-comment-marker"/>
          <w:rFonts w:eastAsia="Times New Roman"/>
        </w:rPr>
        <w:t> </w:t>
      </w:r>
    </w:p>
    <w:p w:rsidR="00000000" w:rsidRDefault="00EB04A8">
      <w:pPr>
        <w:pStyle w:val="Normlnywebov"/>
      </w:pPr>
      <w:r>
        <w:rPr>
          <w:rStyle w:val="Siln"/>
        </w:rPr>
        <w:t>1. Kritérium č.1. Udržateľnosť doterajších investícií z </w:t>
      </w:r>
      <w:r>
        <w:rPr>
          <w:rStyle w:val="Siln"/>
        </w:rPr>
        <w:t>OPIS</w:t>
      </w:r>
      <w:r>
        <w:t>. Táto požiadavka vyplýva z podmienok NFP pre projekt DCOM. Jej nedodržanie by malo za následok vracanie poskytnutých prostriedkov.</w:t>
      </w:r>
    </w:p>
    <w:p w:rsidR="00000000" w:rsidRDefault="00EB04A8">
      <w:pPr>
        <w:pStyle w:val="Normlnywebov"/>
      </w:pPr>
      <w:r>
        <w:rPr>
          <w:rStyle w:val="Siln"/>
        </w:rPr>
        <w:t xml:space="preserve">Áno </w:t>
      </w:r>
      <w:r>
        <w:t>– splnené kritérium</w:t>
      </w:r>
    </w:p>
    <w:p w:rsidR="00000000" w:rsidRDefault="00EB04A8">
      <w:pPr>
        <w:pStyle w:val="Normlnywebov"/>
      </w:pPr>
      <w:r>
        <w:rPr>
          <w:rStyle w:val="Siln"/>
        </w:rPr>
        <w:t xml:space="preserve">Nie </w:t>
      </w:r>
      <w:r>
        <w:rPr>
          <w:rStyle w:val="inline-comment-marker"/>
        </w:rPr>
        <w:t>–  nesplnené kritériu</w:t>
      </w:r>
      <w:r>
        <w:rPr>
          <w:rStyle w:val="inline-comment-marker"/>
        </w:rPr>
        <w:t>m</w:t>
      </w:r>
    </w:p>
    <w:p w:rsidR="00000000" w:rsidRDefault="00EB04A8">
      <w:pPr>
        <w:pStyle w:val="Normlnywebov"/>
      </w:pPr>
      <w:r>
        <w:rPr>
          <w:rStyle w:val="Siln"/>
        </w:rPr>
        <w:t>Zdôvodnenie</w:t>
      </w:r>
      <w:r>
        <w:rPr>
          <w:rStyle w:val="inline-comment-marker"/>
        </w:rPr>
        <w:t>: Jednokroková migrácia by predstavovala zrušenie používan</w:t>
      </w:r>
      <w:r>
        <w:rPr>
          <w:rStyle w:val="inline-comment-marker"/>
        </w:rPr>
        <w:t>ia riešenia vytvoreného v rámci OPIS (alt.2), pričom ostatné alternatívy by zabezpečili používanie riešenia v rámci podmienky trvalej udržateľnosti</w:t>
      </w:r>
      <w:r>
        <w:rPr>
          <w:rStyle w:val="inline-comment-marker"/>
        </w:rPr>
        <w:t>.</w:t>
      </w:r>
    </w:p>
    <w:p w:rsidR="00000000" w:rsidRDefault="00EB04A8">
      <w:pPr>
        <w:pStyle w:val="Normlnywebov"/>
      </w:pPr>
      <w:r>
        <w:rPr>
          <w:rStyle w:val="inline-comment-marker"/>
        </w:rPr>
        <w:t> </w:t>
      </w:r>
    </w:p>
    <w:p w:rsidR="00000000" w:rsidRDefault="00EB04A8">
      <w:pPr>
        <w:pStyle w:val="Normlnywebov"/>
      </w:pPr>
      <w:r>
        <w:rPr>
          <w:rStyle w:val="Siln"/>
        </w:rPr>
        <w:t>2. Kritérium č.2. Súlad so stratégiou verejnej správy</w:t>
      </w:r>
      <w:r>
        <w:rPr>
          <w:rStyle w:val="inline-comment-marker"/>
        </w:rPr>
        <w:t>. Stratégia verejnej správy stanovuje princíp „vládn</w:t>
      </w:r>
      <w:r>
        <w:rPr>
          <w:rStyle w:val="inline-comment-marker"/>
        </w:rPr>
        <w:t>y cloud prednostne“, pričom DEUS je v zmysle NKIVS a platných právnych predpisov povinný tento princíp dodržiavať</w:t>
      </w:r>
      <w:r>
        <w:rPr>
          <w:rStyle w:val="inline-comment-marker"/>
        </w:rPr>
        <w:t>.</w:t>
      </w:r>
    </w:p>
    <w:p w:rsidR="00000000" w:rsidRDefault="00EB04A8">
      <w:pPr>
        <w:pStyle w:val="Normlnywebov"/>
      </w:pPr>
      <w:r>
        <w:rPr>
          <w:rStyle w:val="Siln"/>
        </w:rPr>
        <w:t xml:space="preserve">Áno </w:t>
      </w:r>
      <w:r>
        <w:rPr>
          <w:rStyle w:val="inline-comment-marker"/>
        </w:rPr>
        <w:t>– splnené kritériu</w:t>
      </w:r>
      <w:r>
        <w:rPr>
          <w:rStyle w:val="inline-comment-marker"/>
        </w:rPr>
        <w:t>m</w:t>
      </w:r>
    </w:p>
    <w:p w:rsidR="00000000" w:rsidRDefault="00EB04A8">
      <w:pPr>
        <w:pStyle w:val="Normlnywebov"/>
      </w:pPr>
      <w:r>
        <w:rPr>
          <w:rStyle w:val="Siln"/>
        </w:rPr>
        <w:t xml:space="preserve">Nie </w:t>
      </w:r>
      <w:r>
        <w:rPr>
          <w:rStyle w:val="inline-comment-marker"/>
        </w:rPr>
        <w:t>–  nesplnené kritériu</w:t>
      </w:r>
      <w:r>
        <w:rPr>
          <w:rStyle w:val="inline-comment-marker"/>
        </w:rPr>
        <w:t>m</w:t>
      </w:r>
    </w:p>
    <w:p w:rsidR="00000000" w:rsidRDefault="00EB04A8">
      <w:pPr>
        <w:pStyle w:val="Normlnywebov"/>
      </w:pPr>
      <w:r>
        <w:rPr>
          <w:rStyle w:val="Siln"/>
        </w:rPr>
        <w:t>Zdôvodnenie</w:t>
      </w:r>
      <w:r>
        <w:rPr>
          <w:rStyle w:val="inline-comment-marker"/>
        </w:rPr>
        <w:t>: V časovom horizonte NKIVS 2014-2020 by alternatíva 1 nesplnila predmetné krit</w:t>
      </w:r>
      <w:r>
        <w:rPr>
          <w:rStyle w:val="inline-comment-marker"/>
        </w:rPr>
        <w:t>érium, pričom ostatné alternatívy toto kritérium napĺňajú</w:t>
      </w:r>
      <w:r>
        <w:rPr>
          <w:rStyle w:val="inline-comment-marker"/>
        </w:rPr>
        <w:t>.</w:t>
      </w:r>
    </w:p>
    <w:p w:rsidR="00000000" w:rsidRDefault="00EB04A8">
      <w:pPr>
        <w:pStyle w:val="Normlnywebov"/>
      </w:pPr>
      <w:r>
        <w:rPr>
          <w:b/>
          <w:bCs/>
        </w:rPr>
        <w:br/>
      </w:r>
    </w:p>
    <w:p w:rsidR="00000000" w:rsidRDefault="00EB04A8">
      <w:pPr>
        <w:pStyle w:val="Normlnywebov"/>
      </w:pPr>
      <w:r>
        <w:rPr>
          <w:rStyle w:val="Siln"/>
        </w:rPr>
        <w:t>3. Kritérium č.3. Technologická pripravenosť a riziká</w:t>
      </w:r>
      <w:r>
        <w:rPr>
          <w:rStyle w:val="inline-comment-marker"/>
        </w:rPr>
        <w:t>. Posudzuje sa technologická pripravenosť z pohľadu IaaS a PaaS vládneho cloudu. Riziká vyjadrujú skúsenosť so stabilitou, výkonom a inými par</w:t>
      </w:r>
      <w:r>
        <w:rPr>
          <w:rStyle w:val="inline-comment-marker"/>
        </w:rPr>
        <w:t>ametrami vládneho cloudu</w:t>
      </w:r>
      <w:r>
        <w:rPr>
          <w:rStyle w:val="inline-comment-marker"/>
        </w:rPr>
        <w:t>.</w:t>
      </w:r>
    </w:p>
    <w:p w:rsidR="00000000" w:rsidRDefault="00EB04A8">
      <w:pPr>
        <w:pStyle w:val="Normlnywebov"/>
      </w:pPr>
      <w:r>
        <w:rPr>
          <w:rStyle w:val="Siln"/>
        </w:rPr>
        <w:t xml:space="preserve">Pozitívna </w:t>
      </w:r>
      <w:r>
        <w:rPr>
          <w:rStyle w:val="inline-comment-marker"/>
        </w:rPr>
        <w:t>– žiadna/akceptovateľná miera rizika a plná technologická pripravenos</w:t>
      </w:r>
      <w:r>
        <w:rPr>
          <w:rStyle w:val="inline-comment-marker"/>
        </w:rPr>
        <w:t>ť</w:t>
      </w:r>
    </w:p>
    <w:p w:rsidR="00000000" w:rsidRDefault="00EB04A8">
      <w:pPr>
        <w:pStyle w:val="Normlnywebov"/>
      </w:pPr>
      <w:r>
        <w:rPr>
          <w:rStyle w:val="Siln"/>
        </w:rPr>
        <w:t xml:space="preserve">Neutrálna -  </w:t>
      </w:r>
      <w:r>
        <w:rPr>
          <w:rStyle w:val="inline-comment-marker"/>
        </w:rPr>
        <w:t>akceptovateľná miera rizika a postačujúca technologická pripravenos</w:t>
      </w:r>
      <w:r>
        <w:rPr>
          <w:rStyle w:val="inline-comment-marker"/>
        </w:rPr>
        <w:t>ť</w:t>
      </w:r>
    </w:p>
    <w:p w:rsidR="00000000" w:rsidRDefault="00EB04A8">
      <w:pPr>
        <w:pStyle w:val="Normlnywebov"/>
      </w:pPr>
      <w:r>
        <w:rPr>
          <w:rStyle w:val="Siln"/>
        </w:rPr>
        <w:t xml:space="preserve">Negatívna </w:t>
      </w:r>
      <w:r>
        <w:rPr>
          <w:rStyle w:val="inline-comment-marker"/>
        </w:rPr>
        <w:t>– vysoká miera rizika a neistá technologická pripravenos</w:t>
      </w:r>
      <w:r>
        <w:rPr>
          <w:rStyle w:val="inline-comment-marker"/>
        </w:rPr>
        <w:t>ť</w:t>
      </w:r>
    </w:p>
    <w:p w:rsidR="00000000" w:rsidRDefault="00EB04A8">
      <w:pPr>
        <w:pStyle w:val="Normlnywebov"/>
      </w:pPr>
      <w:r>
        <w:rPr>
          <w:rStyle w:val="Siln"/>
        </w:rPr>
        <w:t>Zdôvodnenie</w:t>
      </w:r>
      <w:r>
        <w:rPr>
          <w:rStyle w:val="inline-comment-marker"/>
        </w:rPr>
        <w:t>: Presúvanie rutinne používaných aplikácií z prostredia DCOMu do vládneho cloudu predstavuje vážne prevádzkové riziko (alt. 2), keďže obce sú dnes na riešení existenčne závislé. Alternatíva 1 nepredstavuje zmenu technológií, a tak predstavuje r</w:t>
      </w:r>
      <w:r>
        <w:rPr>
          <w:rStyle w:val="inline-comment-marker"/>
        </w:rPr>
        <w:t>iešenie s technologickou pripravenosťou a je z tohto pohľadu bez rizík. Alternatíva 3 z dôvodu migrácie záložného riešenia predstavuje akceptovateľnú mieru rizika a na tieto účely postačujúcu technologickú pripravenosť</w:t>
      </w:r>
      <w:r>
        <w:rPr>
          <w:rStyle w:val="inline-comment-marker"/>
        </w:rPr>
        <w:t>.</w:t>
      </w:r>
    </w:p>
    <w:p w:rsidR="00000000" w:rsidRDefault="00EB04A8">
      <w:pPr>
        <w:pStyle w:val="Normlnywebov"/>
      </w:pPr>
      <w:r>
        <w:rPr>
          <w:b/>
          <w:bCs/>
        </w:rPr>
        <w:br/>
      </w:r>
    </w:p>
    <w:p w:rsidR="00000000" w:rsidRDefault="00EB04A8">
      <w:pPr>
        <w:pStyle w:val="Normlnywebov"/>
      </w:pPr>
      <w:r>
        <w:rPr>
          <w:rStyle w:val="Siln"/>
        </w:rPr>
        <w:t xml:space="preserve">4. Kritérium č.4: Celkové náklady </w:t>
      </w:r>
      <w:r>
        <w:rPr>
          <w:rStyle w:val="Siln"/>
        </w:rPr>
        <w:t>na migráciu</w:t>
      </w:r>
      <w:r>
        <w:rPr>
          <w:rStyle w:val="inline-comment-marker"/>
        </w:rPr>
        <w:t>. V tomto kritériu sa posudzujú z dlhodobého hľadiska náklady na migráciu do vládneho cloudu, ktoré sú pri všetkých alternatívach rovnaké (viď popis jednotlivých alternatív). O </w:t>
      </w:r>
      <w:r>
        <w:rPr>
          <w:rStyle w:val="inline-comment-marker"/>
        </w:rPr>
        <w:t>posúdení tohto kritéria rozhoduje skutočnosť, či vznikajú okrem nákladov na migráciu ešte ďalšie dodatočné náklady. </w:t>
      </w:r>
      <w:r>
        <w:rPr>
          <w:rStyle w:val="inline-comment-marker"/>
        </w:rPr>
        <w:t> </w:t>
      </w:r>
    </w:p>
    <w:p w:rsidR="00000000" w:rsidRDefault="00EB04A8">
      <w:pPr>
        <w:pStyle w:val="Normlnywebov"/>
      </w:pPr>
      <w:r>
        <w:rPr>
          <w:rStyle w:val="Siln"/>
        </w:rPr>
        <w:t xml:space="preserve">Neutrálne </w:t>
      </w:r>
      <w:r>
        <w:rPr>
          <w:rStyle w:val="inline-comment-marker"/>
        </w:rPr>
        <w:t>– celkové náklady predstavujú len náklady na migráci</w:t>
      </w:r>
      <w:r>
        <w:rPr>
          <w:rStyle w:val="inline-comment-marker"/>
        </w:rPr>
        <w:t>u</w:t>
      </w:r>
    </w:p>
    <w:p w:rsidR="00000000" w:rsidRDefault="00EB04A8">
      <w:pPr>
        <w:pStyle w:val="Normlnywebov"/>
      </w:pPr>
      <w:r>
        <w:rPr>
          <w:rStyle w:val="Siln"/>
        </w:rPr>
        <w:t xml:space="preserve">Navýšené </w:t>
      </w:r>
      <w:r>
        <w:rPr>
          <w:rStyle w:val="inline-comment-marker"/>
        </w:rPr>
        <w:t>– celkové náklady predstavujú náklady na migráciu a dodatočné nák</w:t>
      </w:r>
      <w:r>
        <w:rPr>
          <w:rStyle w:val="inline-comment-marker"/>
        </w:rPr>
        <w:t>lad</w:t>
      </w:r>
      <w:r>
        <w:rPr>
          <w:rStyle w:val="inline-comment-marker"/>
        </w:rPr>
        <w:t>y</w:t>
      </w:r>
    </w:p>
    <w:p w:rsidR="00000000" w:rsidRDefault="00EB04A8">
      <w:pPr>
        <w:pStyle w:val="Normlnywebov"/>
      </w:pPr>
      <w:r>
        <w:rPr>
          <w:rStyle w:val="Siln"/>
        </w:rPr>
        <w:t xml:space="preserve">Zdôvodnenie: </w:t>
      </w:r>
      <w:r>
        <w:rPr>
          <w:rStyle w:val="inline-comment-marker"/>
        </w:rPr>
        <w:t>Pri celkových nákladoch na migráciu je potrebné si uvedomiť, že migrácia výpočtového prostredia DCOM do vládneho cloudu je nevyhnutná. Náklady na migráciu teda vzniknú v identickej výške, no popri nich môžu vzniknúť náklady dočasného rieš</w:t>
      </w:r>
      <w:r>
        <w:rPr>
          <w:rStyle w:val="inline-comment-marker"/>
        </w:rPr>
        <w:t>enia – rozširovanie DC (alt. 1) a náklady navýšenia výpočtových zdrojov  vládneho cloudu (alt. 2)</w:t>
      </w:r>
      <w:r>
        <w:rPr>
          <w:rStyle w:val="inline-comment-marker"/>
        </w:rPr>
        <w:t>.</w:t>
      </w:r>
    </w:p>
    <w:p w:rsidR="00000000" w:rsidRDefault="00EB04A8">
      <w:pPr>
        <w:pStyle w:val="Normlnywebov"/>
      </w:pPr>
      <w:r>
        <w:br/>
      </w:r>
    </w:p>
    <w:p w:rsidR="00000000" w:rsidRDefault="00EB04A8">
      <w:pPr>
        <w:pStyle w:val="Normlnywebov"/>
      </w:pPr>
      <w:r>
        <w:rPr>
          <w:rStyle w:val="inline-comment-marker"/>
        </w:rPr>
        <w:t xml:space="preserve">Z nich prvé dve môžeme označiť ako obmedzenia/KO kritériá, lebo ich nesplnenie danú alternatívu vylučuje, resp. jej prípadné použitie by bolo spojené s  </w:t>
      </w:r>
      <w:r>
        <w:rPr>
          <w:rStyle w:val="inline-comment-marker"/>
        </w:rPr>
        <w:t>výnimkou voči platným pravidlám (napr. NKIVS, platné právne predpisy), ktorá zo strategického hľadiska bola po diskusiách s UPPVII (architektúra, technologické a finančné dôvody) označená ako neakceptovateľná</w:t>
      </w:r>
      <w:r>
        <w:rPr>
          <w:rStyle w:val="inline-comment-marker"/>
        </w:rPr>
        <w:t>.</w:t>
      </w:r>
      <w:r>
        <w:rPr>
          <w:rStyle w:val="inline-comment-marker"/>
        </w:rPr>
        <w:t> </w:t>
      </w:r>
    </w:p>
    <w:p w:rsidR="00000000" w:rsidRDefault="00EB04A8">
      <w:pPr>
        <w:pStyle w:val="Normlnywebov"/>
      </w:pPr>
      <w:r>
        <w:rPr>
          <w:rStyle w:val="inline-comment-marker"/>
          <w:b/>
          <w:bCs/>
        </w:rPr>
        <w:t>Záve</w:t>
      </w:r>
      <w:r>
        <w:rPr>
          <w:rStyle w:val="inline-comment-marker"/>
          <w:b/>
          <w:bCs/>
        </w:rPr>
        <w:t>r</w:t>
      </w:r>
    </w:p>
    <w:p w:rsidR="00000000" w:rsidRDefault="00EB04A8">
      <w:pPr>
        <w:pStyle w:val="Normlnywebov"/>
      </w:pPr>
      <w:r>
        <w:t xml:space="preserve">Na základe vyššie uvedeného porovnania </w:t>
      </w:r>
      <w:r>
        <w:t>odporúčame realizovať alternatívu č.3. To znamená,  dvojkrokovú migráciu IS obcí do vládneho cloudu. Táto alternatíva rešpektuje obe obmedzenia/KO kritériá, ale taktiež je optimálna z pohľadu technologickej pripravenosti/rizík a celkových nákladov na migrá</w:t>
      </w:r>
      <w:r>
        <w:t>ciu.</w:t>
      </w:r>
    </w:p>
    <w:p w:rsidR="00000000" w:rsidRDefault="00EB04A8">
      <w:pPr>
        <w:pStyle w:val="Normlnywebov"/>
      </w:pPr>
      <w:r>
        <w:t> </w:t>
      </w:r>
    </w:p>
    <w:p w:rsidR="00000000" w:rsidRDefault="00EB04A8">
      <w:pPr>
        <w:pStyle w:val="Normlnywebov"/>
      </w:pPr>
      <w:r>
        <w:t>Ďalej v tejto štúdií popisujeme alternatívu č.3, z ktorej sme zvolili 2 potenciálne  riešenia a následne ich rozvíjame aj v CBA (Alternatíva A a B).</w:t>
      </w:r>
    </w:p>
    <w:p w:rsidR="00000000" w:rsidRDefault="00EB04A8">
      <w:pPr>
        <w:pStyle w:val="Normlnywebov"/>
      </w:pPr>
      <w:r>
        <w:t xml:space="preserve">Súčasné znenie legislatívy umožňuje zabezpečovanie výkonu verejnej moci elektronicky zo strany obcí </w:t>
      </w:r>
      <w:r>
        <w:t>a miest niekoľkými kvalitatívne odlišnými spôsobmi, pričom každý z nich na jednej strane spĺňa legislatívne požiadavky zákona o eGovernmente, na druhej strane poskytuje občanovi, podnikateľovi a pracovníkom MÚS odlišnú úžitkovú hodnotu.</w:t>
      </w:r>
    </w:p>
    <w:p w:rsidR="00000000" w:rsidRDefault="00EB04A8">
      <w:pPr>
        <w:pStyle w:val="Normlnywebov"/>
      </w:pPr>
      <w:r>
        <w:t>Prax ukazuje, že úž</w:t>
      </w:r>
      <w:r>
        <w:t>itkovú hodnotu elektronického výkonu verejnej moci môžeme relatívne dobre charakterizovať prostredníctvom typu vstupného rozhrania, pretože okrem úrovne komfortu vyplnenia podania ešte vo väčšej miere ovplyvňuje aj následnú automatizovateľnosť jeho spracov</w:t>
      </w:r>
      <w:r>
        <w:t>ania. Typ vstupného rozhrania môžeme zaradiť do jednej zo štyroch kvalitatívnych úrovní:</w:t>
      </w:r>
    </w:p>
    <w:p w:rsidR="00000000" w:rsidRDefault="00EB04A8">
      <w:pPr>
        <w:numPr>
          <w:ilvl w:val="0"/>
          <w:numId w:val="7"/>
        </w:numPr>
        <w:spacing w:before="100" w:beforeAutospacing="1" w:after="100" w:afterAutospacing="1"/>
        <w:rPr>
          <w:rFonts w:eastAsia="Times New Roman"/>
        </w:rPr>
      </w:pPr>
      <w:r>
        <w:rPr>
          <w:rStyle w:val="Siln"/>
          <w:rFonts w:eastAsia="Times New Roman"/>
        </w:rPr>
        <w:t xml:space="preserve">Univerzálny formulár </w:t>
      </w:r>
      <w:r>
        <w:rPr>
          <w:rFonts w:eastAsia="Times New Roman"/>
        </w:rPr>
        <w:t>(Všeobecné podanie) - je ním možné poslať takmer čokoľvek v elektronickej forme, neexistuje však možnosť zadávania žiadnych štruktúrovaných údajov</w:t>
      </w:r>
      <w:r>
        <w:rPr>
          <w:rFonts w:eastAsia="Times New Roman"/>
        </w:rPr>
        <w:t>, neexistujú žiadne kontroly. Chybovosť a neúplnosť je vysoká a nie je preto možné žiadne automatizované spracovanie.</w:t>
      </w:r>
    </w:p>
    <w:p w:rsidR="00000000" w:rsidRDefault="00EB04A8">
      <w:pPr>
        <w:numPr>
          <w:ilvl w:val="0"/>
          <w:numId w:val="7"/>
        </w:numPr>
        <w:spacing w:before="100" w:beforeAutospacing="1" w:after="100" w:afterAutospacing="1"/>
        <w:rPr>
          <w:rFonts w:eastAsia="Times New Roman"/>
        </w:rPr>
      </w:pPr>
      <w:r>
        <w:rPr>
          <w:rStyle w:val="Siln"/>
          <w:rFonts w:eastAsia="Times New Roman"/>
        </w:rPr>
        <w:t>Statický špecializovaný formulár</w:t>
      </w:r>
      <w:r>
        <w:rPr>
          <w:rFonts w:eastAsia="Times New Roman"/>
        </w:rPr>
        <w:t xml:space="preserve"> (konkrétna eSlužba) – je individuálne pripravený pre zadávanie vstupných údajov konkrétneho rozhodnutia v</w:t>
      </w:r>
      <w:r>
        <w:rPr>
          <w:rFonts w:eastAsia="Times New Roman"/>
        </w:rPr>
        <w:t>o veci. Obyvateľ je navigovaný, pri vypĺňaní pracuje iba so statickými predvoľbami a kontrolami, ktoré sa nastavujú podľa výsledkov analýzy. Nie je preto možné využiť údaje z predchádzajúcich konaní a obmedzené je aj využitie údajov z integrácií. Chybovosť</w:t>
      </w:r>
      <w:r>
        <w:rPr>
          <w:rFonts w:eastAsia="Times New Roman"/>
        </w:rPr>
        <w:t xml:space="preserve"> je stredná a stále neumožňuje využiť automatizované spracovanie.</w:t>
      </w:r>
    </w:p>
    <w:p w:rsidR="00000000" w:rsidRDefault="00EB04A8">
      <w:pPr>
        <w:numPr>
          <w:ilvl w:val="0"/>
          <w:numId w:val="7"/>
        </w:numPr>
        <w:spacing w:before="100" w:beforeAutospacing="1" w:after="100" w:afterAutospacing="1"/>
        <w:rPr>
          <w:rFonts w:eastAsia="Times New Roman"/>
        </w:rPr>
      </w:pPr>
      <w:r>
        <w:rPr>
          <w:rStyle w:val="Siln"/>
          <w:rFonts w:eastAsia="Times New Roman"/>
        </w:rPr>
        <w:t>Integrovaný špecializovaný formulár</w:t>
      </w:r>
      <w:r>
        <w:rPr>
          <w:rFonts w:eastAsia="Times New Roman"/>
        </w:rPr>
        <w:t xml:space="preserve"> (konkrétna eSlužba s variantami) – oproti statickému formuláru umožňuje on-line prepojenie na miestne nastavenia ich obecnými špecifickými hodnotami. Takt</w:t>
      </w:r>
      <w:r>
        <w:rPr>
          <w:rFonts w:eastAsia="Times New Roman"/>
        </w:rPr>
        <w:t>o je možné riadiť rozsah eSlužieb, rozsah požadovaných vstupných atribútov, predvolené hodnoty a formulárové kontroly. Obec ich môže kedykoľvek vo vlastnej réžii aktualizovať. Taktiež je možné využiť plné možnosti dostupných integrácií na štátne registre a</w:t>
      </w:r>
      <w:r>
        <w:rPr>
          <w:rFonts w:eastAsia="Times New Roman"/>
        </w:rPr>
        <w:t> iné IS VS. Riziko chýb a neúplností je malé, umožňuje čiastočné automatizované spracovanie. (tento typ vstupného rozhrania nemá obdobu v listinnej forme)</w:t>
      </w:r>
    </w:p>
    <w:p w:rsidR="00000000" w:rsidRDefault="00EB04A8">
      <w:pPr>
        <w:numPr>
          <w:ilvl w:val="0"/>
          <w:numId w:val="7"/>
        </w:numPr>
        <w:spacing w:before="100" w:beforeAutospacing="1" w:after="100" w:afterAutospacing="1"/>
        <w:rPr>
          <w:rFonts w:eastAsia="Times New Roman"/>
        </w:rPr>
      </w:pPr>
      <w:r>
        <w:rPr>
          <w:rStyle w:val="Siln"/>
          <w:rFonts w:eastAsia="Times New Roman"/>
        </w:rPr>
        <w:t>Inteligentný integrovaný špecializovaný formulár</w:t>
      </w:r>
      <w:r>
        <w:rPr>
          <w:rFonts w:eastAsia="Times New Roman"/>
        </w:rPr>
        <w:t xml:space="preserve"> (konkrétna eSlužba s variantami, jedenkrát a dosť) –</w:t>
      </w:r>
      <w:r>
        <w:rPr>
          <w:rFonts w:eastAsia="Times New Roman"/>
        </w:rPr>
        <w:t xml:space="preserve"> oproti integrovanému formuláru umožňuje ešte naviac prepojenie na všetky doterajšie záznamy. Umožňuje to plná integrácia všetkých modulov IS. Chýbajúci atribút je prevzatý z výsledkov predchádzajúcich konaní obce. Atraktivita tohto typu vstupného formulár</w:t>
      </w:r>
      <w:r>
        <w:rPr>
          <w:rFonts w:eastAsia="Times New Roman"/>
        </w:rPr>
        <w:t>a je pre obyvateľa veľmi vysoká, pretože sa zadáva minimum vstupných údajov. Následne to má efekt v podpore plného automatizovaného a aj hromadného spracovania, lebo prakticky neobsahuje chyby. (tento typ vstup. rozhrania nemá obdobu v listinnej forme). </w:t>
      </w:r>
    </w:p>
    <w:p w:rsidR="00000000" w:rsidRDefault="00EB04A8">
      <w:pPr>
        <w:pStyle w:val="Normlnywebov"/>
      </w:pPr>
      <w:r>
        <w:t>O</w:t>
      </w:r>
      <w:r>
        <w:t>brázok 10 Úžitková hodnota jednotlivých typov vstupných rozhraní:</w:t>
      </w:r>
    </w:p>
    <w:p w:rsidR="00000000" w:rsidRDefault="00EB04A8">
      <w:pPr>
        <w:pStyle w:val="Normlnywebov"/>
      </w:pPr>
      <w:r>
        <w:rPr>
          <w:noProof/>
        </w:rPr>
        <w:drawing>
          <wp:inline distT="0" distB="0" distL="0" distR="0">
            <wp:extent cx="4457700" cy="1905000"/>
            <wp:effectExtent l="0" t="0" r="0" b="0"/>
            <wp:docPr id="11" name="Obrázok 11" descr="C:\cbddae3442b17a9280ef2c4c54e61d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cbddae3442b17a9280ef2c4c54e61d5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57700" cy="1905000"/>
                    </a:xfrm>
                    <a:prstGeom prst="rect">
                      <a:avLst/>
                    </a:prstGeom>
                    <a:noFill/>
                    <a:ln>
                      <a:noFill/>
                    </a:ln>
                  </pic:spPr>
                </pic:pic>
              </a:graphicData>
            </a:graphic>
          </wp:inline>
        </w:drawing>
      </w:r>
    </w:p>
    <w:p w:rsidR="00000000" w:rsidRDefault="00EB04A8">
      <w:pPr>
        <w:pStyle w:val="Normlnywebov"/>
      </w:pPr>
      <w:r>
        <w:t>Z vyššie uvedeného vyplýva, že každá obe</w:t>
      </w:r>
      <w:r>
        <w:t>c má možnosť voľby kvalitatívnej úrovne elektronických služieb. Jednou hraničnou voľbou je technologicky najjednoduchšie možné riešenie (kvalitatívna úroveň č.1), ktoré síce spĺňa požiadavky legislatívy, ale má len veľmi malú až žiadnu pridanú hodnotu voči</w:t>
      </w:r>
      <w:r>
        <w:t xml:space="preserve"> súčasnému stavu. Druhou krajnou alternatívou je plnohodnotné riešenie s najvyššou možnou úžitkovou hodnotou (kvalitatívna úroveň č.4).</w:t>
      </w:r>
    </w:p>
    <w:p w:rsidR="00000000" w:rsidRDefault="00EB04A8">
      <w:pPr>
        <w:pStyle w:val="Normlnywebov"/>
      </w:pPr>
      <w:r>
        <w:t>Druhým stupňom voľnosti z pohľadu obce je model zabezpečovania IT podpory. Domnievame sa, že obce a menšie mestá len v s</w:t>
      </w:r>
      <w:r>
        <w:t>polupráci so svojimi ISO dodávateľmi budú schopné zabezpečiť najviac prvé dve kvalitatívne úrovne. V tomto prípade mesto alebo obec vystupuje v roli systémového integrátora a prevádzkovateľa svojho informačného systému, a od svojich dodávateľov si nakupuje</w:t>
      </w:r>
      <w:r>
        <w:t xml:space="preserve"> len čiastkové výkony. Pre dve vyššie kvalitatívne úrovne bude nevyhnutná spolupráca s centrálnym poskytovateľom špecializovaných služieb pre elektronický výkon verejnej moci v MUS, ako je napríklad DEUS. V tomto prípade centrálny poskytovateľ preberá rolu</w:t>
      </w:r>
      <w:r>
        <w:t xml:space="preserve"> systémového integrátora a prevádzkovateľa elektronických služieb obce.</w:t>
      </w:r>
    </w:p>
    <w:p w:rsidR="00000000" w:rsidRDefault="00EB04A8">
      <w:pPr>
        <w:pStyle w:val="Nadpis3"/>
        <w:rPr>
          <w:rFonts w:eastAsia="Times New Roman"/>
        </w:rPr>
      </w:pPr>
      <w:r>
        <w:rPr>
          <w:rFonts w:eastAsia="Times New Roman"/>
        </w:rPr>
        <w:t>2.3.1.</w:t>
      </w:r>
      <w:r>
        <w:rPr>
          <w:rFonts w:eastAsia="Times New Roman"/>
        </w:rPr>
        <w:t xml:space="preserve"> </w:t>
      </w:r>
      <w:r>
        <w:rPr>
          <w:rStyle w:val="inline-comment-marker"/>
          <w:rFonts w:eastAsia="Times New Roman"/>
        </w:rPr>
        <w:t>Alternatíva A – „Konzervatívna</w:t>
      </w:r>
      <w:r>
        <w:rPr>
          <w:rStyle w:val="inline-comment-marker"/>
          <w:rFonts w:eastAsia="Times New Roman"/>
        </w:rPr>
        <w:t>"</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360"/>
      </w:tblGrid>
      <w:tr w:rsidR="00000000">
        <w:trPr>
          <w:divId w:val="1127743646"/>
          <w:cantSplit/>
          <w:tblCellSpacing w:w="15" w:type="dxa"/>
        </w:trPr>
        <w:tc>
          <w:tcPr>
            <w:tcW w:w="0" w:type="auto"/>
            <w:vAlign w:val="center"/>
            <w:hideMark/>
          </w:tcPr>
          <w:p w:rsidR="00000000" w:rsidRDefault="00EB04A8">
            <w:pPr>
              <w:pStyle w:val="Normlnywebov"/>
            </w:pPr>
            <w:r>
              <w:rPr>
                <w:rStyle w:val="Siln"/>
              </w:rPr>
              <w:t>Súhrnný popis</w:t>
            </w:r>
          </w:p>
        </w:tc>
      </w:tr>
      <w:tr w:rsidR="00000000">
        <w:trPr>
          <w:divId w:val="1127743646"/>
          <w:cantSplit/>
          <w:trHeight w:val="276"/>
          <w:tblCellSpacing w:w="15" w:type="dxa"/>
        </w:trPr>
        <w:tc>
          <w:tcPr>
            <w:tcW w:w="0" w:type="auto"/>
            <w:vMerge w:val="restart"/>
            <w:vAlign w:val="center"/>
            <w:hideMark/>
          </w:tcPr>
          <w:p w:rsidR="00000000" w:rsidRDefault="00EB04A8">
            <w:pPr>
              <w:pStyle w:val="Normlnywebov"/>
            </w:pPr>
            <w:r>
              <w:t xml:space="preserve">Zvažovaná alternatíva A predstavuje pokračovanie súčasného modelu zabezpečovania IT podpory pre obce a mestá, ktoré zatiaľ nie sú </w:t>
            </w:r>
            <w:r>
              <w:t>zapojené do projektu DCOM. Prakticky to znamená, že každá obec si bude riešiť plnenie zákonnej povinnosti poskytovania eSlužieb vlastnými silami v spolupráci so svojimi ISO dodávateľmi. V takomto prípade bude musieť každá obec a mesto riešiť individuálne n</w:t>
            </w:r>
            <w:r>
              <w:t>apojenie na ÚPVS a integrácie na ostatné IS VS. Napriek tomu, že táto alternatíva je relatívne nákladná, typicky bude dosahovať len nižšiu kvalitatívnu úroveň elektronických služieb (úroveň 1. a 2. podľa kategorizácie v kapitole 2.3.) a nebude možné spoloč</w:t>
            </w:r>
            <w:r>
              <w:t>ne zdieľať náklady na prevádzkové služby a bezpečnosť. Náklady na individuálne prispôsobovanie jednotlivých informačných systémov v obciach a mestách na poskytovanie eSlužieb sú odhadnuté a zohľadnené v ekonomickej analýze.</w:t>
            </w:r>
          </w:p>
          <w:p w:rsidR="00000000" w:rsidRDefault="00EB04A8">
            <w:pPr>
              <w:pStyle w:val="Normlnywebov"/>
            </w:pPr>
            <w:r>
              <w:t>Alternatíva A je silne konzervat</w:t>
            </w:r>
            <w:r>
              <w:t xml:space="preserve">ívna. V porovnaní s ďalej popísanou alternatívou B predikuje pri veľkom počte obcí a miest vyššie nároky na finančné a ľudské zdroje a vzďaľuje sa vízii efektívneho unifikovaného, systémového a konsolidovaného riešenia informatizácie MÚS. </w:t>
            </w:r>
          </w:p>
        </w:tc>
      </w:tr>
      <w:tr w:rsidR="00000000">
        <w:trPr>
          <w:divId w:val="1127743646"/>
          <w:trHeight w:val="276"/>
          <w:tblCellSpacing w:w="15" w:type="dxa"/>
        </w:trPr>
        <w:tc>
          <w:tcPr>
            <w:tcW w:w="0" w:type="auto"/>
            <w:vMerge/>
            <w:vAlign w:val="center"/>
            <w:hideMark/>
          </w:tcPr>
          <w:p w:rsidR="00000000" w:rsidRDefault="00EB04A8"/>
        </w:tc>
      </w:tr>
    </w:tbl>
    <w:p w:rsidR="00000000" w:rsidRDefault="00EB04A8">
      <w:pPr>
        <w:pStyle w:val="Nadpis3"/>
        <w:rPr>
          <w:rFonts w:eastAsia="Times New Roman"/>
        </w:rPr>
      </w:pPr>
      <w:r>
        <w:rPr>
          <w:rFonts w:eastAsia="Times New Roman"/>
        </w:rPr>
        <w:t>2.3.2. Alternatíva B – „Optimálne riešenie"</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360"/>
      </w:tblGrid>
      <w:tr w:rsidR="00000000">
        <w:trPr>
          <w:divId w:val="1752004092"/>
          <w:cantSplit/>
          <w:tblCellSpacing w:w="15" w:type="dxa"/>
        </w:trPr>
        <w:tc>
          <w:tcPr>
            <w:tcW w:w="0" w:type="auto"/>
            <w:vAlign w:val="center"/>
            <w:hideMark/>
          </w:tcPr>
          <w:p w:rsidR="00000000" w:rsidRDefault="00EB04A8">
            <w:pPr>
              <w:pStyle w:val="Normlnywebov"/>
            </w:pPr>
            <w:r>
              <w:rPr>
                <w:rStyle w:val="Siln"/>
              </w:rPr>
              <w:t>Súhrnný popis</w:t>
            </w:r>
          </w:p>
        </w:tc>
      </w:tr>
      <w:tr w:rsidR="00000000">
        <w:trPr>
          <w:divId w:val="1752004092"/>
          <w:cantSplit/>
          <w:trHeight w:val="276"/>
          <w:tblCellSpacing w:w="15" w:type="dxa"/>
        </w:trPr>
        <w:tc>
          <w:tcPr>
            <w:tcW w:w="0" w:type="auto"/>
            <w:vMerge w:val="restart"/>
            <w:vAlign w:val="center"/>
            <w:hideMark/>
          </w:tcPr>
          <w:p w:rsidR="00000000" w:rsidRDefault="00EB04A8">
            <w:pPr>
              <w:pStyle w:val="Normlnywebov"/>
            </w:pPr>
            <w:r>
              <w:t>Alternatíva B je riešenie, ktoré predpokladá opakované   využitie už vytvorených a používaných centrálnych služieb IS DCOM   a ich poskytnutie obciam a mestám, ktoré sa zatiaľ do projektu DCOM   ne</w:t>
            </w:r>
            <w:r>
              <w:t>zapojili. Táto alternatíva napĺňa víziu spoločného IS miestnej územnej samosprávy   integrovaného do vládneho cloudu, zvyšuje využitie už vybudovaného IS DCOM,   znižuje technologické a finančné nároky na obce a mestá pri   poskytovaní elektronických služi</w:t>
            </w:r>
            <w:r>
              <w:t>eb s vysokou pridanou hodnotou (3.   a 4. úroveň podľa definície v kapitole 2.3).</w:t>
            </w:r>
          </w:p>
          <w:p w:rsidR="00000000" w:rsidRDefault="00EB04A8">
            <w:pPr>
              <w:pStyle w:val="Normlnywebov"/>
            </w:pPr>
            <w:r>
              <w:t>Autorom tejto štúdie uskutočniteľnosti nie je známy žiaden   dôvod, prečo by už existujúce riešenia vytvorené v rámci projektu DCOM   nemali byť sprístupnené aj pre ďalšie, d</w:t>
            </w:r>
            <w:r>
              <w:t>oteraz nezapojené obce a mestá.   Praktické skúsenosti ukazujú, že je to jediná možná cesta, ako zabezpečiť   komfortné elektronické služby v kompetencii MÚS bez zvyšovania výdavkov   verejných zdrojov. </w:t>
            </w:r>
          </w:p>
          <w:p w:rsidR="00000000" w:rsidRDefault="00EB04A8">
            <w:pPr>
              <w:pStyle w:val="Normlnywebov"/>
            </w:pPr>
            <w:r>
              <w:t>Táto štúdia uskutočniteľnosti odporúča realizovať Al</w:t>
            </w:r>
            <w:r>
              <w:t>ternatívu   B, ktorá je detailnejšie opísaná v popise budúceho stavu. Prinesie   jednak komfortnejšie služby pre občanov a podnikateľov, efektívnejšiu   prácu obcí a miest, ale súčasne bude úspornejšia, ako zvažovaná Alternatíva A.</w:t>
            </w:r>
          </w:p>
        </w:tc>
      </w:tr>
      <w:tr w:rsidR="00000000">
        <w:trPr>
          <w:divId w:val="1752004092"/>
          <w:trHeight w:val="276"/>
          <w:tblCellSpacing w:w="15" w:type="dxa"/>
        </w:trPr>
        <w:tc>
          <w:tcPr>
            <w:tcW w:w="0" w:type="auto"/>
            <w:vMerge/>
            <w:vAlign w:val="center"/>
            <w:hideMark/>
          </w:tcPr>
          <w:p w:rsidR="00000000" w:rsidRDefault="00EB04A8"/>
        </w:tc>
      </w:tr>
    </w:tbl>
    <w:p w:rsidR="00000000" w:rsidRDefault="00EB04A8">
      <w:pPr>
        <w:pStyle w:val="Nadpis2"/>
        <w:rPr>
          <w:rFonts w:eastAsia="Times New Roman"/>
        </w:rPr>
      </w:pPr>
      <w:r>
        <w:rPr>
          <w:rFonts w:eastAsia="Times New Roman"/>
        </w:rPr>
        <w:t>2.4. Popis budúceho s</w:t>
      </w:r>
      <w:r>
        <w:rPr>
          <w:rFonts w:eastAsia="Times New Roman"/>
        </w:rPr>
        <w:t>tavu</w:t>
      </w:r>
    </w:p>
    <w:p w:rsidR="00000000" w:rsidRDefault="00EB04A8">
      <w:pPr>
        <w:pStyle w:val="Normlnywebov"/>
      </w:pPr>
      <w:r>
        <w:t>V nasledujúcej časti dokumentu opíšeme stav, ktorý by mal nastať po realizovaní projektu plošného rozšírenia IS DCOM do ďalších obcí.</w:t>
      </w:r>
    </w:p>
    <w:p w:rsidR="00000000" w:rsidRDefault="00EB04A8">
      <w:pPr>
        <w:pStyle w:val="Nadpis3"/>
        <w:rPr>
          <w:rFonts w:eastAsia="Times New Roman"/>
        </w:rPr>
      </w:pPr>
      <w:r>
        <w:rPr>
          <w:rFonts w:eastAsia="Times New Roman"/>
        </w:rPr>
        <w:t>2.4.1. Legislatíva</w:t>
      </w:r>
    </w:p>
    <w:p w:rsidR="00000000" w:rsidRDefault="00EB04A8">
      <w:pPr>
        <w:pStyle w:val="Normlnywebov"/>
      </w:pPr>
      <w:r>
        <w:rPr>
          <w:rStyle w:val="Zvraznenie"/>
        </w:rPr>
        <w:t>Tabuľka 10  Legislatíva - budúci stav</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2120"/>
        <w:gridCol w:w="7240"/>
      </w:tblGrid>
      <w:tr w:rsidR="00000000">
        <w:trPr>
          <w:divId w:val="1039404287"/>
          <w:cantSplit/>
          <w:tblCellSpacing w:w="15" w:type="dxa"/>
        </w:trPr>
        <w:tc>
          <w:tcPr>
            <w:tcW w:w="0" w:type="auto"/>
            <w:gridSpan w:val="2"/>
            <w:vAlign w:val="center"/>
            <w:hideMark/>
          </w:tcPr>
          <w:p w:rsidR="00000000" w:rsidRDefault="00EB04A8">
            <w:pPr>
              <w:pStyle w:val="Normlnywebov"/>
            </w:pPr>
            <w:r>
              <w:rPr>
                <w:rStyle w:val="Siln"/>
              </w:rPr>
              <w:t>Súhrnný popis</w:t>
            </w:r>
          </w:p>
        </w:tc>
      </w:tr>
      <w:tr w:rsidR="00000000">
        <w:trPr>
          <w:divId w:val="1039404287"/>
          <w:cantSplit/>
          <w:tblCellSpacing w:w="15" w:type="dxa"/>
        </w:trPr>
        <w:tc>
          <w:tcPr>
            <w:tcW w:w="0" w:type="auto"/>
            <w:gridSpan w:val="2"/>
            <w:vAlign w:val="center"/>
            <w:hideMark/>
          </w:tcPr>
          <w:p w:rsidR="00000000" w:rsidRDefault="00EB04A8">
            <w:pPr>
              <w:pStyle w:val="Normlnywebov"/>
            </w:pPr>
            <w:r>
              <w:t>Navrhovaný projekt DCOM+ je pokračovaním v n</w:t>
            </w:r>
            <w:r>
              <w:t>apĺňaní stratégie informatizácie miestnej územnej samosprávy rozširovaním používania vytvorených zdieľaných služieb projektu DCOM. Východiskovú koncepciu tohto projektu popisuje štúdia uskutočniteľnosti Dátové centrum obcí a miest DCOM (december 2011). V t</w:t>
            </w:r>
            <w:r>
              <w:t>ejto štúdii je obsiahnutá aj legislatívna analýza týkajúca sa realizácie celého projektu.</w:t>
            </w:r>
          </w:p>
          <w:p w:rsidR="00000000" w:rsidRDefault="00EB04A8">
            <w:pPr>
              <w:pStyle w:val="Normlnywebov"/>
            </w:pPr>
            <w:r>
              <w:t>Pre uskutočnenie projektu nie sú potrebné žiadne legislatívne zmeny. </w:t>
            </w:r>
          </w:p>
        </w:tc>
      </w:tr>
      <w:tr w:rsidR="00000000">
        <w:trPr>
          <w:divId w:val="1039404287"/>
          <w:cantSplit/>
          <w:tblCellSpacing w:w="15" w:type="dxa"/>
        </w:trPr>
        <w:tc>
          <w:tcPr>
            <w:tcW w:w="0" w:type="auto"/>
            <w:vAlign w:val="center"/>
            <w:hideMark/>
          </w:tcPr>
          <w:p w:rsidR="00000000" w:rsidRDefault="00EB04A8">
            <w:pPr>
              <w:pStyle w:val="Normlnywebov"/>
            </w:pPr>
            <w:r>
              <w:rPr>
                <w:rStyle w:val="Siln"/>
              </w:rPr>
              <w:t>Kritéria kvality</w:t>
            </w:r>
          </w:p>
        </w:tc>
        <w:tc>
          <w:tcPr>
            <w:tcW w:w="0" w:type="auto"/>
            <w:vAlign w:val="center"/>
            <w:hideMark/>
          </w:tcPr>
          <w:p w:rsidR="00000000" w:rsidRDefault="00EB04A8">
            <w:pPr>
              <w:pStyle w:val="Normlnywebov"/>
            </w:pPr>
            <w:r>
              <w:rPr>
                <w:rStyle w:val="Siln"/>
              </w:rPr>
              <w:t>Spresnenie kritérií kvality:</w:t>
            </w:r>
            <w:r>
              <w:t xml:space="preserve"> </w:t>
            </w:r>
            <w:r>
              <w:rPr>
                <w:rStyle w:val="Zvraznenie"/>
              </w:rPr>
              <w:t>Odkazy na relevantné identifikátory kritérií kvality v prílohe Kritéria kvality.</w:t>
            </w:r>
          </w:p>
        </w:tc>
      </w:tr>
      <w:tr w:rsidR="00000000">
        <w:trPr>
          <w:divId w:val="1039404287"/>
          <w:cantSplit/>
          <w:tblCellSpacing w:w="15" w:type="dxa"/>
        </w:trPr>
        <w:tc>
          <w:tcPr>
            <w:tcW w:w="0" w:type="auto"/>
            <w:gridSpan w:val="2"/>
            <w:vAlign w:val="center"/>
            <w:hideMark/>
          </w:tcPr>
          <w:p w:rsidR="00000000" w:rsidRDefault="00EB04A8">
            <w:pPr>
              <w:pStyle w:val="Normlnywebov"/>
            </w:pPr>
            <w:r>
              <w:t> </w:t>
            </w:r>
          </w:p>
        </w:tc>
      </w:tr>
      <w:tr w:rsidR="00000000">
        <w:trPr>
          <w:divId w:val="1039404287"/>
          <w:cantSplit/>
          <w:tblCellSpacing w:w="15" w:type="dxa"/>
        </w:trPr>
        <w:tc>
          <w:tcPr>
            <w:tcW w:w="0" w:type="auto"/>
            <w:vAlign w:val="center"/>
            <w:hideMark/>
          </w:tcPr>
          <w:p w:rsidR="00000000" w:rsidRDefault="00EB04A8">
            <w:pPr>
              <w:pStyle w:val="Normlnywebov"/>
            </w:pPr>
            <w:r>
              <w:rPr>
                <w:rStyle w:val="Siln"/>
              </w:rPr>
              <w:t>Riziká</w:t>
            </w:r>
          </w:p>
        </w:tc>
        <w:tc>
          <w:tcPr>
            <w:tcW w:w="0" w:type="auto"/>
            <w:vAlign w:val="center"/>
            <w:hideMark/>
          </w:tcPr>
          <w:p w:rsidR="00000000" w:rsidRDefault="00EB04A8">
            <w:pPr>
              <w:pStyle w:val="Normlnywebov"/>
            </w:pPr>
            <w:r>
              <w:rPr>
                <w:rStyle w:val="Siln"/>
              </w:rPr>
              <w:t>Spresnenie identifikovaných rizík:</w:t>
            </w:r>
            <w:r>
              <w:t xml:space="preserve"> </w:t>
            </w:r>
            <w:r>
              <w:rPr>
                <w:rStyle w:val="Zvraznenie"/>
              </w:rPr>
              <w:t>Odkazy na relevantné identifikátory rizík v prílohe Riziká.</w:t>
            </w:r>
          </w:p>
        </w:tc>
      </w:tr>
      <w:tr w:rsidR="00000000">
        <w:trPr>
          <w:divId w:val="1039404287"/>
          <w:cantSplit/>
          <w:tblCellSpacing w:w="15" w:type="dxa"/>
        </w:trPr>
        <w:tc>
          <w:tcPr>
            <w:tcW w:w="0" w:type="auto"/>
            <w:gridSpan w:val="2"/>
            <w:vAlign w:val="center"/>
            <w:hideMark/>
          </w:tcPr>
          <w:p w:rsidR="00000000" w:rsidRDefault="00EB04A8">
            <w:pPr>
              <w:pStyle w:val="Normlnywebov"/>
            </w:pPr>
            <w:r>
              <w:rPr>
                <w:rStyle w:val="Zvraznenie"/>
              </w:rPr>
              <w:t>R 07 -  </w:t>
            </w:r>
            <w:r>
              <w:rPr>
                <w:rStyle w:val="Zvraznenie"/>
              </w:rPr>
              <w:t>Legislatívna podpora pre DCOM nebude postačovať pre zapájané subjekty.</w:t>
            </w:r>
          </w:p>
          <w:p w:rsidR="00000000" w:rsidRDefault="00EB04A8">
            <w:pPr>
              <w:pStyle w:val="Normlnywebov"/>
            </w:pPr>
            <w:r>
              <w:t>R 08 -  </w:t>
            </w:r>
            <w:bookmarkStart w:id="2" w:name="_Toc446408304"/>
            <w:bookmarkEnd w:id="2"/>
            <w:r>
              <w:t>Legislatíva obce (VZN) nebude v súlade s napojením obce na DCOM.</w:t>
            </w:r>
          </w:p>
        </w:tc>
      </w:tr>
      <w:tr w:rsidR="00000000">
        <w:trPr>
          <w:divId w:val="1039404287"/>
          <w:cantSplit/>
          <w:tblCellSpacing w:w="15" w:type="dxa"/>
        </w:trPr>
        <w:tc>
          <w:tcPr>
            <w:tcW w:w="0" w:type="auto"/>
            <w:vAlign w:val="center"/>
            <w:hideMark/>
          </w:tcPr>
          <w:p w:rsidR="00000000" w:rsidRDefault="00EB04A8">
            <w:pPr>
              <w:pStyle w:val="Normlnywebov"/>
            </w:pPr>
            <w:r>
              <w:rPr>
                <w:rStyle w:val="Siln"/>
              </w:rPr>
              <w:t>Prílohy</w:t>
            </w:r>
          </w:p>
        </w:tc>
        <w:tc>
          <w:tcPr>
            <w:tcW w:w="0" w:type="auto"/>
            <w:vAlign w:val="center"/>
            <w:hideMark/>
          </w:tcPr>
          <w:p w:rsidR="00000000" w:rsidRDefault="00EB04A8">
            <w:pPr>
              <w:pStyle w:val="Normlnywebov"/>
            </w:pPr>
            <w:r>
              <w:rPr>
                <w:rStyle w:val="Siln"/>
              </w:rPr>
              <w:t>Diagramy, modely, obrázky v plnom rozlíšení</w:t>
            </w:r>
          </w:p>
        </w:tc>
      </w:tr>
      <w:tr w:rsidR="00000000">
        <w:trPr>
          <w:divId w:val="1039404287"/>
          <w:cantSplit/>
          <w:tblCellSpacing w:w="15" w:type="dxa"/>
        </w:trPr>
        <w:tc>
          <w:tcPr>
            <w:tcW w:w="0" w:type="auto"/>
            <w:vAlign w:val="center"/>
            <w:hideMark/>
          </w:tcPr>
          <w:p w:rsidR="00000000" w:rsidRDefault="00EB04A8">
            <w:pPr>
              <w:pStyle w:val="Normlnywebov"/>
            </w:pPr>
            <w:r>
              <w:t>Tabuľka 2 Riziká</w:t>
            </w:r>
          </w:p>
          <w:p w:rsidR="00000000" w:rsidRDefault="00EB04A8">
            <w:pPr>
              <w:pStyle w:val="Normlnywebov"/>
            </w:pPr>
            <w:r>
              <w:rPr>
                <w:rStyle w:val="Zvraznenie"/>
              </w:rPr>
              <w:t>Tabuľka 4 Legislatíva</w:t>
            </w:r>
          </w:p>
        </w:tc>
        <w:tc>
          <w:tcPr>
            <w:tcW w:w="0" w:type="auto"/>
            <w:vAlign w:val="center"/>
            <w:hideMark/>
          </w:tcPr>
          <w:p w:rsidR="00000000" w:rsidRDefault="00EB04A8">
            <w:pPr>
              <w:pStyle w:val="Normlnywebov"/>
            </w:pPr>
            <w:r>
              <w:rPr>
                <w:rStyle w:val="Zvraznenie"/>
              </w:rPr>
              <w:t>Odkazy na relevant</w:t>
            </w:r>
            <w:r>
              <w:rPr>
                <w:rStyle w:val="Zvraznenie"/>
              </w:rPr>
              <w:t>né súbory. Prílohy obsahujú informácie vo forme modelov.</w:t>
            </w:r>
          </w:p>
        </w:tc>
      </w:tr>
    </w:tbl>
    <w:p w:rsidR="00000000" w:rsidRDefault="00EB04A8">
      <w:pPr>
        <w:pStyle w:val="Nadpis3"/>
        <w:rPr>
          <w:rFonts w:eastAsia="Times New Roman"/>
        </w:rPr>
      </w:pPr>
      <w:r>
        <w:rPr>
          <w:rFonts w:eastAsia="Times New Roman"/>
        </w:rPr>
        <w:t>2.4.2. Architektúra</w:t>
      </w:r>
    </w:p>
    <w:p w:rsidR="00000000" w:rsidRDefault="00EB04A8">
      <w:pPr>
        <w:pStyle w:val="Nadpis4"/>
        <w:rPr>
          <w:rFonts w:eastAsia="Times New Roman"/>
        </w:rPr>
      </w:pPr>
      <w:r>
        <w:rPr>
          <w:rFonts w:eastAsia="Times New Roman"/>
        </w:rPr>
        <w:t>2.4.2.1. Biznis architektúra</w:t>
      </w:r>
    </w:p>
    <w:p w:rsidR="00000000" w:rsidRDefault="00EB04A8">
      <w:pPr>
        <w:pStyle w:val="Normlnywebov"/>
      </w:pPr>
      <w:r>
        <w:rPr>
          <w:rStyle w:val="inline-comment-marker"/>
          <w:i/>
          <w:iCs/>
        </w:rPr>
        <w:t>Tabuľka 11 Biznis architektúra – budúci sta</w:t>
      </w:r>
      <w:r>
        <w:rPr>
          <w:rStyle w:val="inline-comment-marker"/>
          <w:i/>
          <w:iCs/>
        </w:rPr>
        <w:t>v</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2882"/>
        <w:gridCol w:w="6478"/>
      </w:tblGrid>
      <w:tr w:rsidR="00000000">
        <w:trPr>
          <w:divId w:val="365326871"/>
          <w:cantSplit/>
          <w:tblCellSpacing w:w="15" w:type="dxa"/>
        </w:trPr>
        <w:tc>
          <w:tcPr>
            <w:tcW w:w="0" w:type="auto"/>
            <w:gridSpan w:val="2"/>
            <w:vAlign w:val="center"/>
            <w:hideMark/>
          </w:tcPr>
          <w:p w:rsidR="00000000" w:rsidRDefault="00EB04A8">
            <w:pPr>
              <w:pStyle w:val="Normlnywebov"/>
            </w:pPr>
            <w:r>
              <w:rPr>
                <w:rStyle w:val="Siln"/>
              </w:rPr>
              <w:t>Súhrnný popis</w:t>
            </w:r>
          </w:p>
        </w:tc>
      </w:tr>
      <w:tr w:rsidR="00000000">
        <w:trPr>
          <w:divId w:val="365326871"/>
          <w:cantSplit/>
          <w:tblCellSpacing w:w="15" w:type="dxa"/>
        </w:trPr>
        <w:tc>
          <w:tcPr>
            <w:tcW w:w="0" w:type="auto"/>
            <w:gridSpan w:val="2"/>
            <w:vAlign w:val="center"/>
            <w:hideMark/>
          </w:tcPr>
          <w:p w:rsidR="00000000" w:rsidRDefault="00EB04A8">
            <w:pPr>
              <w:pStyle w:val="Normlnywebov"/>
            </w:pPr>
            <w:r>
              <w:t>Z pohľadu obce, ktorá vstúpi do projektu DCOM+ nastane výrazná redukcia výkonov a </w:t>
            </w:r>
            <w:r>
              <w:t>zodpovednosti v súvislosti s budovaním elektronických služieb a prevádzkovaním vlastného informačného systému. Rozhodujúcu časť výkonov a zodpovednosti na seba prevezme DEUS.</w:t>
            </w:r>
          </w:p>
          <w:p w:rsidR="00000000" w:rsidRDefault="00EB04A8">
            <w:pPr>
              <w:pStyle w:val="Normlnywebov"/>
            </w:pPr>
            <w:r>
              <w:t xml:space="preserve">Architektúra datacentra integrovaného do vládneho cloudu, poskytujúceho zdieľané </w:t>
            </w:r>
            <w:r>
              <w:t>SaaS služby obciam a mestám sa nemení:</w:t>
            </w:r>
          </w:p>
          <w:p w:rsidR="00000000" w:rsidRDefault="00EB04A8">
            <w:pPr>
              <w:numPr>
                <w:ilvl w:val="0"/>
                <w:numId w:val="8"/>
              </w:numPr>
              <w:spacing w:before="100" w:beforeAutospacing="1" w:after="100" w:afterAutospacing="1"/>
              <w:rPr>
                <w:rFonts w:eastAsia="Times New Roman"/>
              </w:rPr>
            </w:pPr>
            <w:r>
              <w:rPr>
                <w:rFonts w:eastAsia="Times New Roman"/>
              </w:rPr>
              <w:t>Vrstva dopytu predstavuje katalóg SaaS služieb DCOM dostupných pre obce a mestá a ich konfigurovanie podľa dohody o poskytovanej úrovni SaaS služieb DCOM.</w:t>
            </w:r>
          </w:p>
          <w:p w:rsidR="00000000" w:rsidRDefault="00EB04A8">
            <w:pPr>
              <w:numPr>
                <w:ilvl w:val="0"/>
                <w:numId w:val="8"/>
              </w:numPr>
              <w:spacing w:before="100" w:beforeAutospacing="1" w:after="100" w:afterAutospacing="1"/>
              <w:rPr>
                <w:rFonts w:eastAsia="Times New Roman"/>
              </w:rPr>
            </w:pPr>
            <w:r>
              <w:rPr>
                <w:rFonts w:eastAsia="Times New Roman"/>
              </w:rPr>
              <w:t>Vrstva dodávania zdrojov poskytuje jednotné rozhranie pre ľubo</w:t>
            </w:r>
            <w:r>
              <w:rPr>
                <w:rFonts w:eastAsia="Times New Roman"/>
              </w:rPr>
              <w:t>voľné hardvérové zdroje, zabezpečuje riadenie zdrojov, optimalizuje a monitoruje využitie prostriedkov z dispozičných zdrojov.</w:t>
            </w:r>
          </w:p>
          <w:p w:rsidR="00000000" w:rsidRDefault="00EB04A8">
            <w:pPr>
              <w:pStyle w:val="Normlnywebov"/>
            </w:pPr>
            <w:r>
              <w:t>Konzumentom SaaS, služieb DCOM, sú obce a mestá, ktoré k službám pristupujú prostredníctvom rozhrania pre zákazníka. Úlohou rozhr</w:t>
            </w:r>
            <w:r>
              <w:t>ania pre zákazníka je zaistiť autentifikáciu používateľov a overiť ich oprávnenie používať konkrétne služby.</w:t>
            </w:r>
          </w:p>
          <w:p w:rsidR="00000000" w:rsidRDefault="00EB04A8">
            <w:pPr>
              <w:pStyle w:val="Normlnywebov"/>
            </w:pPr>
            <w:r>
              <w:t>Prostredníctvom vrstvy SaaS IS DCOM sa realizuje poskytovanie služieb obciam a verejnosti. V jednom prípade je obec konzumentom SaaS služby, pomoco</w:t>
            </w:r>
            <w:r>
              <w:t>u ktorej obec súvisiacu agendu vybaví. V druhom prípade obec prostredníctvom DCOM publikuje rozhranie umožňujúce prístup k eSlužbám obce pre verejnosť (front-end). Elektronické podania od žiadateľa prichádzajú do elektronickej podateľne obce, odkiaľ sú sme</w:t>
            </w:r>
            <w:r>
              <w:t>rované do príslušného back-endu danej agendy.</w:t>
            </w:r>
          </w:p>
          <w:p w:rsidR="00000000" w:rsidRDefault="00EB04A8">
            <w:pPr>
              <w:pStyle w:val="Normlnywebov"/>
            </w:pPr>
            <w:r>
              <w:t>Z funkčného pohľadu DCOM prináša možnosť prístupu 24x7 (24 hodín denne, 7 dní v týždni).</w:t>
            </w:r>
          </w:p>
          <w:p w:rsidR="00000000" w:rsidRDefault="00EB04A8">
            <w:pPr>
              <w:pStyle w:val="Normlnywebov"/>
            </w:pPr>
            <w:r>
              <w:t>V cieľovom stave obce získavajú tieto benefity:</w:t>
            </w:r>
          </w:p>
          <w:p w:rsidR="00000000" w:rsidRDefault="00EB04A8">
            <w:pPr>
              <w:numPr>
                <w:ilvl w:val="0"/>
                <w:numId w:val="9"/>
              </w:numPr>
              <w:spacing w:before="100" w:beforeAutospacing="1" w:after="100" w:afterAutospacing="1"/>
              <w:rPr>
                <w:rFonts w:eastAsia="Times New Roman"/>
              </w:rPr>
            </w:pPr>
            <w:r>
              <w:rPr>
                <w:rFonts w:eastAsia="Times New Roman"/>
              </w:rPr>
              <w:t>výpočtový výkon IaaS vo vládnom cloude pre prevádzku svojich informačných systémov,</w:t>
            </w:r>
          </w:p>
          <w:p w:rsidR="00000000" w:rsidRDefault="00EB04A8">
            <w:pPr>
              <w:numPr>
                <w:ilvl w:val="0"/>
                <w:numId w:val="9"/>
              </w:numPr>
              <w:spacing w:before="100" w:beforeAutospacing="1" w:after="100" w:afterAutospacing="1"/>
              <w:rPr>
                <w:rFonts w:eastAsia="Times New Roman"/>
              </w:rPr>
            </w:pPr>
            <w:r>
              <w:rPr>
                <w:rFonts w:eastAsia="Times New Roman"/>
              </w:rPr>
              <w:t>prostredie PaaS pre dodávateľov ISO</w:t>
            </w:r>
          </w:p>
          <w:p w:rsidR="00000000" w:rsidRDefault="00EB04A8">
            <w:pPr>
              <w:numPr>
                <w:ilvl w:val="0"/>
                <w:numId w:val="9"/>
              </w:numPr>
              <w:spacing w:before="100" w:beforeAutospacing="1" w:after="100" w:afterAutospacing="1"/>
              <w:rPr>
                <w:rFonts w:eastAsia="Times New Roman"/>
              </w:rPr>
            </w:pPr>
            <w:r>
              <w:rPr>
                <w:rFonts w:eastAsia="Times New Roman"/>
              </w:rPr>
              <w:t>aplikácie v režime SaaS potrebné na spracovanie požiadaviek originálnych kompetencií,</w:t>
            </w:r>
          </w:p>
          <w:p w:rsidR="00000000" w:rsidRDefault="00EB04A8">
            <w:pPr>
              <w:numPr>
                <w:ilvl w:val="0"/>
                <w:numId w:val="9"/>
              </w:numPr>
              <w:spacing w:before="100" w:beforeAutospacing="1" w:after="100" w:afterAutospacing="1"/>
              <w:rPr>
                <w:rFonts w:eastAsia="Times New Roman"/>
              </w:rPr>
            </w:pPr>
            <w:r>
              <w:rPr>
                <w:rFonts w:eastAsia="Times New Roman"/>
              </w:rPr>
              <w:t>integráciu na ÚPVS a všetky potrebné referenčné re</w:t>
            </w:r>
            <w:r>
              <w:rPr>
                <w:rFonts w:eastAsia="Times New Roman"/>
              </w:rPr>
              <w:t>gistre a ISVS s dodržaním princípu jedenkrát a dosť,</w:t>
            </w:r>
          </w:p>
          <w:p w:rsidR="00000000" w:rsidRDefault="00EB04A8">
            <w:pPr>
              <w:numPr>
                <w:ilvl w:val="0"/>
                <w:numId w:val="9"/>
              </w:numPr>
              <w:spacing w:before="100" w:beforeAutospacing="1" w:after="100" w:afterAutospacing="1"/>
              <w:rPr>
                <w:rFonts w:eastAsia="Times New Roman"/>
              </w:rPr>
            </w:pPr>
            <w:r>
              <w:rPr>
                <w:rFonts w:eastAsia="Times New Roman"/>
              </w:rPr>
              <w:t>vybavenie obcí potrebným HW a SW,</w:t>
            </w:r>
          </w:p>
          <w:p w:rsidR="00000000" w:rsidRDefault="00EB04A8">
            <w:pPr>
              <w:numPr>
                <w:ilvl w:val="0"/>
                <w:numId w:val="9"/>
              </w:numPr>
              <w:spacing w:before="100" w:beforeAutospacing="1" w:after="100" w:afterAutospacing="1"/>
              <w:rPr>
                <w:rFonts w:eastAsia="Times New Roman"/>
              </w:rPr>
            </w:pPr>
            <w:r>
              <w:rPr>
                <w:rFonts w:eastAsia="Times New Roman"/>
              </w:rPr>
              <w:t>podpora eKomunikácie a inteligentné formuláre</w:t>
            </w:r>
          </w:p>
          <w:p w:rsidR="00000000" w:rsidRDefault="00EB04A8">
            <w:pPr>
              <w:numPr>
                <w:ilvl w:val="0"/>
                <w:numId w:val="9"/>
              </w:numPr>
              <w:spacing w:before="100" w:beforeAutospacing="1" w:after="100" w:afterAutospacing="1"/>
              <w:rPr>
                <w:rFonts w:eastAsia="Times New Roman"/>
              </w:rPr>
            </w:pPr>
            <w:r>
              <w:rPr>
                <w:rFonts w:eastAsia="Times New Roman"/>
              </w:rPr>
              <w:t>ďalšie centrálne zdieľané služby ako Call Centrum, dohľad a starostlivosť o dodaný HW na obciach (ITaaS), metodickú podporu</w:t>
            </w:r>
            <w:r>
              <w:rPr>
                <w:rFonts w:eastAsia="Times New Roman"/>
              </w:rPr>
              <w:t>, mail, web a ďalšie.</w:t>
            </w:r>
          </w:p>
          <w:p w:rsidR="00000000" w:rsidRDefault="00EB04A8">
            <w:pPr>
              <w:pStyle w:val="Normlnywebov"/>
            </w:pPr>
            <w:r>
              <w:t>Vybrané príklady šetrenia a zefektívnenia času úradníkom:</w:t>
            </w:r>
          </w:p>
          <w:p w:rsidR="00000000" w:rsidRDefault="00EB04A8">
            <w:pPr>
              <w:numPr>
                <w:ilvl w:val="0"/>
                <w:numId w:val="10"/>
              </w:numPr>
              <w:spacing w:before="100" w:beforeAutospacing="1" w:after="100" w:afterAutospacing="1"/>
              <w:rPr>
                <w:rFonts w:eastAsia="Times New Roman"/>
              </w:rPr>
            </w:pPr>
            <w:r>
              <w:rPr>
                <w:rFonts w:eastAsia="Times New Roman"/>
              </w:rPr>
              <w:t>v DCOM-e si jedným klikom vedia zobraziť všetkých obyvateľov prihlásených na trvalý, alebo prechodný pobyt v obci, a neplatia poplatok za TKO a nenachádzajú sa ani v žiadnom pr</w:t>
            </w:r>
            <w:r>
              <w:rPr>
                <w:rFonts w:eastAsia="Times New Roman"/>
              </w:rPr>
              <w:t>iznaní,</w:t>
            </w:r>
          </w:p>
          <w:p w:rsidR="00000000" w:rsidRDefault="00EB04A8">
            <w:pPr>
              <w:numPr>
                <w:ilvl w:val="0"/>
                <w:numId w:val="10"/>
              </w:numPr>
              <w:spacing w:before="100" w:beforeAutospacing="1" w:after="100" w:afterAutospacing="1"/>
              <w:rPr>
                <w:rFonts w:eastAsia="Times New Roman"/>
              </w:rPr>
            </w:pPr>
            <w:r>
              <w:rPr>
                <w:rFonts w:eastAsia="Times New Roman"/>
              </w:rPr>
              <w:t>vďaka integrácii na Kataster nehnuteľnosti si vedia zobraziť parcely, na ktoré je evidované daňové priznanie a skontrolovať, či je celá výmera zdanená.</w:t>
            </w:r>
          </w:p>
          <w:p w:rsidR="00000000" w:rsidRDefault="00EB04A8">
            <w:pPr>
              <w:pStyle w:val="Normlnywebov"/>
            </w:pPr>
            <w:r>
              <w:t>Vybrané konkrétne výhody pre občanov:</w:t>
            </w:r>
          </w:p>
          <w:p w:rsidR="00000000" w:rsidRDefault="00EB04A8">
            <w:pPr>
              <w:numPr>
                <w:ilvl w:val="0"/>
                <w:numId w:val="11"/>
              </w:numPr>
              <w:spacing w:before="100" w:beforeAutospacing="1" w:after="100" w:afterAutospacing="1"/>
              <w:rPr>
                <w:rFonts w:eastAsia="Times New Roman"/>
              </w:rPr>
            </w:pPr>
            <w:r>
              <w:rPr>
                <w:rFonts w:eastAsia="Times New Roman"/>
              </w:rPr>
              <w:t>občania nemusia nosiť doklady na obec, napr.: výpis z list</w:t>
            </w:r>
            <w:r>
              <w:rPr>
                <w:rFonts w:eastAsia="Times New Roman"/>
              </w:rPr>
              <w:t>u vlastníctva, výpis z národnej evidencie vozidiel, potvrdenie o ZŤP, zoznam dávok , informácie o dávkach, informácia o zamestnaní, informácie o nedoplatku na daniach a ďalšie,</w:t>
            </w:r>
          </w:p>
          <w:p w:rsidR="00000000" w:rsidRDefault="00EB04A8">
            <w:pPr>
              <w:numPr>
                <w:ilvl w:val="0"/>
                <w:numId w:val="11"/>
              </w:numPr>
              <w:spacing w:before="100" w:beforeAutospacing="1" w:after="100" w:afterAutospacing="1"/>
              <w:rPr>
                <w:rFonts w:eastAsia="Times New Roman"/>
              </w:rPr>
            </w:pPr>
            <w:r>
              <w:rPr>
                <w:rFonts w:eastAsia="Times New Roman"/>
              </w:rPr>
              <w:t>rovnako sú pre nich k dispozícii inteligentné formuláre k službám, podpora elek</w:t>
            </w:r>
            <w:r>
              <w:rPr>
                <w:rFonts w:eastAsia="Times New Roman"/>
              </w:rPr>
              <w:t>tronickej komunikácie.</w:t>
            </w:r>
          </w:p>
          <w:p w:rsidR="00000000" w:rsidRDefault="00EB04A8">
            <w:pPr>
              <w:pStyle w:val="Normlnywebov"/>
            </w:pPr>
            <w:r>
              <w:rPr>
                <w:rStyle w:val="Zvraznenie"/>
              </w:rPr>
              <w:t>Z pohľadu biznis architektúry je IS DCOM integrovaný informačný systém, jeho komponenty sú vzájomne integrované a sú integrované na IS VS.</w:t>
            </w:r>
          </w:p>
        </w:tc>
      </w:tr>
      <w:tr w:rsidR="00000000">
        <w:trPr>
          <w:divId w:val="365326871"/>
          <w:cantSplit/>
          <w:tblCellSpacing w:w="15" w:type="dxa"/>
        </w:trPr>
        <w:tc>
          <w:tcPr>
            <w:tcW w:w="0" w:type="auto"/>
            <w:gridSpan w:val="2"/>
            <w:vAlign w:val="center"/>
            <w:hideMark/>
          </w:tcPr>
          <w:p w:rsidR="00000000" w:rsidRDefault="00EB04A8">
            <w:pPr>
              <w:pStyle w:val="Normlnywebov"/>
            </w:pPr>
            <w:r>
              <w:t>Obrázok 11 Budúci stav z pohľadu ISO</w:t>
            </w:r>
          </w:p>
          <w:p w:rsidR="00000000" w:rsidRDefault="00EB04A8">
            <w:pPr>
              <w:pStyle w:val="Normlnywebov"/>
            </w:pPr>
            <w:r>
              <w:rPr>
                <w:noProof/>
              </w:rPr>
              <w:drawing>
                <wp:inline distT="0" distB="0" distL="0" distR="0">
                  <wp:extent cx="4457700" cy="4419600"/>
                  <wp:effectExtent l="0" t="0" r="0" b="0"/>
                  <wp:docPr id="12" name="Obrázok 12" descr="C:\81299029fc84513625cc4be55ff15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81299029fc84513625cc4be55ff1598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57700" cy="4419600"/>
                          </a:xfrm>
                          <a:prstGeom prst="rect">
                            <a:avLst/>
                          </a:prstGeom>
                          <a:noFill/>
                          <a:ln>
                            <a:noFill/>
                          </a:ln>
                        </pic:spPr>
                      </pic:pic>
                    </a:graphicData>
                  </a:graphic>
                </wp:inline>
              </w:drawing>
            </w:r>
          </w:p>
          <w:p w:rsidR="00000000" w:rsidRDefault="00EB04A8">
            <w:pPr>
              <w:pStyle w:val="Normlnywebov"/>
            </w:pPr>
            <w:r>
              <w:t> </w:t>
            </w:r>
          </w:p>
        </w:tc>
      </w:tr>
      <w:tr w:rsidR="00000000">
        <w:trPr>
          <w:divId w:val="365326871"/>
          <w:cantSplit/>
          <w:tblCellSpacing w:w="15" w:type="dxa"/>
        </w:trPr>
        <w:tc>
          <w:tcPr>
            <w:tcW w:w="0" w:type="auto"/>
            <w:gridSpan w:val="2"/>
            <w:vAlign w:val="center"/>
            <w:hideMark/>
          </w:tcPr>
          <w:p w:rsidR="00000000" w:rsidRDefault="00EB04A8">
            <w:pPr>
              <w:pStyle w:val="Normlnywebov"/>
            </w:pPr>
            <w:r>
              <w:t>Požiadavky obcí a </w:t>
            </w:r>
            <w:r>
              <w:t>miest na špecifickú funkčnosť IS DCOM, ktoré presahujú súčasný štandard DCOM, budú riešené samostatným projektom zameraným na poskytovanie služieb SaaS, ktorý bude realizovaný v ďalšej etape rozvoja DCOM.</w:t>
            </w:r>
          </w:p>
          <w:p w:rsidR="00000000" w:rsidRDefault="00EB04A8">
            <w:pPr>
              <w:pStyle w:val="Normlnywebov"/>
            </w:pPr>
            <w:r>
              <w:t>Predložený projekt DCOM+ využije súčasnú architektú</w:t>
            </w:r>
            <w:r>
              <w:t>ru IS DCOM na ďalších obciach a mestách čím zvyšuje efektívnosť využitia pôvodne navrhnutého riešenia.</w:t>
            </w:r>
          </w:p>
          <w:p w:rsidR="00000000" w:rsidRDefault="00EB04A8">
            <w:pPr>
              <w:pStyle w:val="Normlnywebov"/>
            </w:pPr>
            <w:r>
              <w:t xml:space="preserve">Obec získa prístup do IS DCOM, v ktorom sa zriadi ďalší mandant. Pre súčasnú architektúru je potrebné aby bol do datacentra samosprávy presunutý aj ISO, </w:t>
            </w:r>
            <w:r>
              <w:t>ktorý obec používa na vnútorné agendy. V prípade, ak ISO je kompatibilný s cloudovým prostredím a využíva sa ako multimandantná aplikácia, pre danú obec sa vytvorí nový prístup do existujúcej aplikácie.</w:t>
            </w:r>
          </w:p>
          <w:p w:rsidR="00000000" w:rsidRDefault="00EB04A8">
            <w:pPr>
              <w:pStyle w:val="Normlnywebov"/>
            </w:pPr>
            <w:r>
              <w:t>Z hľadiska úspešnosti pripájania ďalších obcí je potr</w:t>
            </w:r>
            <w:r>
              <w:t>ebné:</w:t>
            </w:r>
          </w:p>
          <w:p w:rsidR="00000000" w:rsidRDefault="00EB04A8">
            <w:pPr>
              <w:numPr>
                <w:ilvl w:val="0"/>
                <w:numId w:val="12"/>
              </w:numPr>
              <w:spacing w:before="100" w:beforeAutospacing="1" w:after="100" w:afterAutospacing="1"/>
              <w:rPr>
                <w:rFonts w:eastAsia="Times New Roman"/>
              </w:rPr>
            </w:pPr>
            <w:r>
              <w:rPr>
                <w:rFonts w:eastAsia="Times New Roman"/>
              </w:rPr>
              <w:t>maximalizovať informovanosť obcí a miest o výhodnosti pripojenia do DCOM, v zmluve s dodávateľom na pripojenie obcí/miest zapracovať možnosť neuplatniť požiadavku na pripojenie niektorých predpokladaných obcí a miest,</w:t>
            </w:r>
          </w:p>
          <w:p w:rsidR="00000000" w:rsidRDefault="00EB04A8">
            <w:pPr>
              <w:numPr>
                <w:ilvl w:val="0"/>
                <w:numId w:val="12"/>
              </w:numPr>
              <w:spacing w:before="100" w:beforeAutospacing="1" w:after="100" w:afterAutospacing="1"/>
              <w:rPr>
                <w:rFonts w:eastAsia="Times New Roman"/>
              </w:rPr>
            </w:pPr>
            <w:r>
              <w:rPr>
                <w:rFonts w:eastAsia="Times New Roman"/>
              </w:rPr>
              <w:t>dôsledná príprava projektu zahrň</w:t>
            </w:r>
            <w:r>
              <w:rPr>
                <w:rFonts w:eastAsia="Times New Roman"/>
              </w:rPr>
              <w:t>ujúca organizačné a personálne zabezpečenie prevádzky DCOM,</w:t>
            </w:r>
          </w:p>
          <w:p w:rsidR="00000000" w:rsidRDefault="00EB04A8">
            <w:pPr>
              <w:numPr>
                <w:ilvl w:val="0"/>
                <w:numId w:val="12"/>
              </w:numPr>
              <w:spacing w:before="100" w:beforeAutospacing="1" w:after="100" w:afterAutospacing="1"/>
              <w:rPr>
                <w:rFonts w:eastAsia="Times New Roman"/>
              </w:rPr>
            </w:pPr>
            <w:r>
              <w:rPr>
                <w:rFonts w:eastAsia="Times New Roman"/>
              </w:rPr>
              <w:t>v harmonograme projektu vytvoriť dostatočnú časovú rezervu pri pripájaní obcí a miest na komunikáciu a realizáciu špecifických opatrení.</w:t>
            </w:r>
          </w:p>
          <w:p w:rsidR="00000000" w:rsidRDefault="00EB04A8">
            <w:pPr>
              <w:pStyle w:val="Normlnywebov"/>
            </w:pPr>
            <w:r>
              <w:rPr>
                <w:rStyle w:val="Zvraznenie"/>
              </w:rPr>
              <w:t>V prípade ak ISO softvér ešte nie je prevádzkovaný v prostr</w:t>
            </w:r>
            <w:r>
              <w:rPr>
                <w:rStyle w:val="Zvraznenie"/>
              </w:rPr>
              <w:t>edí cloudu, musí sa overiť jeho kompatibilita a aktivovať relevantne integrácie na IS DCOM v zmysle špecifikácií. Pre prevádzku ISO softvéru je potrebné zabezpečiť v datacentre výpočtové zdroje a kapacity. </w:t>
            </w:r>
          </w:p>
        </w:tc>
      </w:tr>
      <w:tr w:rsidR="00000000">
        <w:trPr>
          <w:divId w:val="365326871"/>
          <w:cantSplit/>
          <w:tblCellSpacing w:w="15" w:type="dxa"/>
        </w:trPr>
        <w:tc>
          <w:tcPr>
            <w:tcW w:w="0" w:type="auto"/>
            <w:vAlign w:val="center"/>
            <w:hideMark/>
          </w:tcPr>
          <w:p w:rsidR="00000000" w:rsidRDefault="00EB04A8">
            <w:pPr>
              <w:pStyle w:val="Normlnywebov"/>
            </w:pPr>
            <w:r>
              <w:rPr>
                <w:rStyle w:val="Siln"/>
              </w:rPr>
              <w:t>Kritéria kvality</w:t>
            </w:r>
          </w:p>
        </w:tc>
        <w:tc>
          <w:tcPr>
            <w:tcW w:w="0" w:type="auto"/>
            <w:vAlign w:val="center"/>
            <w:hideMark/>
          </w:tcPr>
          <w:p w:rsidR="00000000" w:rsidRDefault="00EB04A8">
            <w:pPr>
              <w:pStyle w:val="Normlnywebov"/>
            </w:pPr>
            <w:r>
              <w:rPr>
                <w:rStyle w:val="Siln"/>
              </w:rPr>
              <w:t>Spresnenie kritérií kvality:</w:t>
            </w:r>
            <w:r>
              <w:t xml:space="preserve"> </w:t>
            </w:r>
            <w:r>
              <w:rPr>
                <w:rStyle w:val="Zvraznenie"/>
              </w:rPr>
              <w:t>O</w:t>
            </w:r>
            <w:r>
              <w:rPr>
                <w:rStyle w:val="Zvraznenie"/>
              </w:rPr>
              <w:t>dkazy na relevantné identifikátory kritérií kvality v prílohe Kritéria kvality.</w:t>
            </w:r>
          </w:p>
        </w:tc>
      </w:tr>
      <w:tr w:rsidR="00000000">
        <w:trPr>
          <w:divId w:val="365326871"/>
          <w:cantSplit/>
          <w:tblCellSpacing w:w="15" w:type="dxa"/>
        </w:trPr>
        <w:tc>
          <w:tcPr>
            <w:tcW w:w="0" w:type="auto"/>
            <w:gridSpan w:val="2"/>
            <w:vAlign w:val="center"/>
            <w:hideMark/>
          </w:tcPr>
          <w:p w:rsidR="00000000" w:rsidRDefault="00EB04A8">
            <w:pPr>
              <w:pStyle w:val="Normlnywebov"/>
            </w:pPr>
            <w:r>
              <w:t> </w:t>
            </w:r>
          </w:p>
        </w:tc>
      </w:tr>
      <w:tr w:rsidR="00000000">
        <w:trPr>
          <w:divId w:val="365326871"/>
          <w:cantSplit/>
          <w:tblCellSpacing w:w="15" w:type="dxa"/>
        </w:trPr>
        <w:tc>
          <w:tcPr>
            <w:tcW w:w="0" w:type="auto"/>
            <w:vAlign w:val="center"/>
            <w:hideMark/>
          </w:tcPr>
          <w:p w:rsidR="00000000" w:rsidRDefault="00EB04A8">
            <w:pPr>
              <w:pStyle w:val="Normlnywebov"/>
            </w:pPr>
            <w:r>
              <w:rPr>
                <w:rStyle w:val="Siln"/>
              </w:rPr>
              <w:t>Riziká</w:t>
            </w:r>
          </w:p>
        </w:tc>
        <w:tc>
          <w:tcPr>
            <w:tcW w:w="0" w:type="auto"/>
            <w:vAlign w:val="center"/>
            <w:hideMark/>
          </w:tcPr>
          <w:p w:rsidR="00000000" w:rsidRDefault="00EB04A8">
            <w:pPr>
              <w:pStyle w:val="Normlnywebov"/>
            </w:pPr>
            <w:r>
              <w:rPr>
                <w:rStyle w:val="Siln"/>
              </w:rPr>
              <w:t>Spresnenie identifikovaných rizík:</w:t>
            </w:r>
            <w:r>
              <w:t xml:space="preserve"> </w:t>
            </w:r>
            <w:r>
              <w:rPr>
                <w:rStyle w:val="Zvraznenie"/>
              </w:rPr>
              <w:t>Odkazy na relevantné identifikátory rizík v prílohe Riziká.</w:t>
            </w:r>
          </w:p>
        </w:tc>
      </w:tr>
      <w:tr w:rsidR="00000000">
        <w:trPr>
          <w:divId w:val="365326871"/>
          <w:cantSplit/>
          <w:tblCellSpacing w:w="15" w:type="dxa"/>
        </w:trPr>
        <w:tc>
          <w:tcPr>
            <w:tcW w:w="0" w:type="auto"/>
            <w:gridSpan w:val="2"/>
            <w:vAlign w:val="center"/>
            <w:hideMark/>
          </w:tcPr>
          <w:p w:rsidR="00000000" w:rsidRDefault="00EB04A8">
            <w:pPr>
              <w:pStyle w:val="zoznamr"/>
            </w:pPr>
            <w:r>
              <w:t>R 09 - Neochota/nedôvera niektorých obcí a miest zapojiť sa do DCOM.</w:t>
            </w:r>
          </w:p>
          <w:p w:rsidR="00000000" w:rsidRDefault="00EB04A8">
            <w:pPr>
              <w:pStyle w:val="zoznamr"/>
            </w:pPr>
            <w:r>
              <w:t>R 10 - Neochota obce/mesta umiestniť výpočtové zdroje a údaje do spoločného dátového centra.</w:t>
            </w:r>
          </w:p>
          <w:p w:rsidR="00000000" w:rsidRDefault="00EB04A8">
            <w:pPr>
              <w:pStyle w:val="zoznamr"/>
            </w:pPr>
            <w:r>
              <w:t>R 11 - Nebudú vytvorené organizačné a personálne predpoklady na prevádzku dátového centra DCOM.</w:t>
            </w:r>
          </w:p>
          <w:p w:rsidR="00000000" w:rsidRDefault="00EB04A8">
            <w:pPr>
              <w:pStyle w:val="zoznamr"/>
            </w:pPr>
            <w:r>
              <w:t>R 12 - Súčinnosť obcí a miest pri realizácii projektu nebude dosta</w:t>
            </w:r>
            <w:r>
              <w:t>točná. </w:t>
            </w:r>
          </w:p>
        </w:tc>
      </w:tr>
      <w:tr w:rsidR="00000000">
        <w:trPr>
          <w:divId w:val="365326871"/>
          <w:cantSplit/>
          <w:tblCellSpacing w:w="15" w:type="dxa"/>
        </w:trPr>
        <w:tc>
          <w:tcPr>
            <w:tcW w:w="0" w:type="auto"/>
            <w:vAlign w:val="center"/>
            <w:hideMark/>
          </w:tcPr>
          <w:p w:rsidR="00000000" w:rsidRDefault="00EB04A8">
            <w:pPr>
              <w:pStyle w:val="Normlnywebov"/>
            </w:pPr>
            <w:r>
              <w:rPr>
                <w:rStyle w:val="Siln"/>
              </w:rPr>
              <w:t>Prílohy</w:t>
            </w:r>
          </w:p>
        </w:tc>
        <w:tc>
          <w:tcPr>
            <w:tcW w:w="0" w:type="auto"/>
            <w:vAlign w:val="center"/>
            <w:hideMark/>
          </w:tcPr>
          <w:p w:rsidR="00000000" w:rsidRDefault="00EB04A8">
            <w:pPr>
              <w:pStyle w:val="Normlnywebov"/>
            </w:pPr>
            <w:r>
              <w:rPr>
                <w:rStyle w:val="Siln"/>
              </w:rPr>
              <w:t>Diagramy, modely, obrázky v plnom rozlíšení</w:t>
            </w:r>
          </w:p>
        </w:tc>
      </w:tr>
      <w:tr w:rsidR="00000000">
        <w:trPr>
          <w:divId w:val="365326871"/>
          <w:cantSplit/>
          <w:tblCellSpacing w:w="15" w:type="dxa"/>
        </w:trPr>
        <w:tc>
          <w:tcPr>
            <w:tcW w:w="0" w:type="auto"/>
            <w:vAlign w:val="center"/>
            <w:hideMark/>
          </w:tcPr>
          <w:p w:rsidR="00000000" w:rsidRDefault="00EB04A8">
            <w:pPr>
              <w:pStyle w:val="Normlnywebov"/>
            </w:pPr>
            <w:r>
              <w:t>Tabuľka 2 Riziká</w:t>
            </w:r>
          </w:p>
          <w:p w:rsidR="00000000" w:rsidRDefault="00EB04A8">
            <w:pPr>
              <w:pStyle w:val="Normlnywebov"/>
            </w:pPr>
            <w:r>
              <w:t>Tabuľka 3 Kritéria kvality</w:t>
            </w:r>
          </w:p>
          <w:p w:rsidR="00000000" w:rsidRDefault="00EB04A8">
            <w:pPr>
              <w:pStyle w:val="Normlnywebov"/>
            </w:pPr>
            <w:r>
              <w:t>Tabuľka 9 Biznis rozhrania</w:t>
            </w:r>
          </w:p>
          <w:p w:rsidR="00000000" w:rsidRDefault="00EB04A8">
            <w:pPr>
              <w:pStyle w:val="Normlnywebov"/>
            </w:pPr>
            <w:r>
              <w:t>Tabuľka 10 Biznis procesy</w:t>
            </w:r>
          </w:p>
          <w:p w:rsidR="00000000" w:rsidRDefault="00EB04A8">
            <w:pPr>
              <w:pStyle w:val="Normlnywebov"/>
            </w:pPr>
            <w:r>
              <w:t>Tabuľka 11 Biznis funkcie</w:t>
            </w:r>
          </w:p>
          <w:p w:rsidR="00000000" w:rsidRDefault="00EB04A8">
            <w:pPr>
              <w:pStyle w:val="Normlnywebov"/>
            </w:pPr>
            <w:r>
              <w:t>Tabuľka 12 Biznis služby</w:t>
            </w:r>
          </w:p>
          <w:p w:rsidR="00000000" w:rsidRDefault="00EB04A8">
            <w:pPr>
              <w:pStyle w:val="Normlnywebov"/>
            </w:pPr>
            <w:r>
              <w:rPr>
                <w:rStyle w:val="Zvraznenie"/>
              </w:rPr>
              <w:t>Tabuľka 13 Biznis informácie</w:t>
            </w:r>
          </w:p>
        </w:tc>
        <w:tc>
          <w:tcPr>
            <w:tcW w:w="0" w:type="auto"/>
            <w:vAlign w:val="center"/>
            <w:hideMark/>
          </w:tcPr>
          <w:p w:rsidR="00000000" w:rsidRDefault="00EB04A8">
            <w:pPr>
              <w:pStyle w:val="Normlnywebov"/>
            </w:pPr>
            <w:r>
              <w:rPr>
                <w:rStyle w:val="Zvraznenie"/>
              </w:rPr>
              <w:t>Odkazy na relevantné súbory. Prílohy obsahujú informácie vo forme modelov.</w:t>
            </w:r>
          </w:p>
        </w:tc>
      </w:tr>
    </w:tbl>
    <w:p w:rsidR="00000000" w:rsidRDefault="00EB04A8">
      <w:pPr>
        <w:pStyle w:val="Nadpis4"/>
        <w:rPr>
          <w:rFonts w:eastAsia="Times New Roman"/>
        </w:rPr>
      </w:pPr>
      <w:r>
        <w:rPr>
          <w:rFonts w:eastAsia="Times New Roman"/>
        </w:rPr>
        <w:t>2.4.2.2. Architektúra informačných systémov</w:t>
      </w:r>
    </w:p>
    <w:p w:rsidR="00000000" w:rsidRDefault="00EB04A8">
      <w:pPr>
        <w:pStyle w:val="Normlnywebov"/>
      </w:pPr>
      <w:r>
        <w:rPr>
          <w:rStyle w:val="Zvraznenie"/>
        </w:rPr>
        <w:t>Tabuľka 12 Architektúra informačných systémov - budúci stav</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5896"/>
        <w:gridCol w:w="6242"/>
      </w:tblGrid>
      <w:tr w:rsidR="00000000">
        <w:trPr>
          <w:divId w:val="316762686"/>
          <w:cantSplit/>
          <w:tblCellSpacing w:w="15" w:type="dxa"/>
        </w:trPr>
        <w:tc>
          <w:tcPr>
            <w:tcW w:w="0" w:type="auto"/>
            <w:gridSpan w:val="2"/>
            <w:vAlign w:val="center"/>
            <w:hideMark/>
          </w:tcPr>
          <w:p w:rsidR="00000000" w:rsidRDefault="00EB04A8">
            <w:pPr>
              <w:pStyle w:val="Normlnywebov"/>
            </w:pPr>
            <w:r>
              <w:rPr>
                <w:rStyle w:val="Siln"/>
              </w:rPr>
              <w:t>Súhrnný popis</w:t>
            </w:r>
          </w:p>
        </w:tc>
      </w:tr>
      <w:tr w:rsidR="00000000">
        <w:trPr>
          <w:divId w:val="316762686"/>
          <w:cantSplit/>
          <w:tblCellSpacing w:w="15" w:type="dxa"/>
        </w:trPr>
        <w:tc>
          <w:tcPr>
            <w:tcW w:w="0" w:type="auto"/>
            <w:gridSpan w:val="2"/>
            <w:vAlign w:val="center"/>
            <w:hideMark/>
          </w:tcPr>
          <w:p w:rsidR="00000000" w:rsidRDefault="00EB04A8">
            <w:pPr>
              <w:pStyle w:val="Normlnywebov"/>
            </w:pPr>
            <w:r>
              <w:t xml:space="preserve">Obce migrované v rámci tohoto projektu do vládneho cloud budú využívať súčasné riešenie IS DCOM v jeho pôvodnej podobe. Čiže nedôjde k výraznej zmene poskytovaných služieb, a procesov. Aplikačná architektúra IS DCOM samosprávy bola vytvorená a je v súlade </w:t>
            </w:r>
            <w:r>
              <w:t>s architektonickými princípmi eGovernmentu. V štúdii je použitá metodika modelovania cieľovej architektúry, ktorá využíva centrálne komponenty, existujúce komponenty na úseku samosprávy a princípov a konceptov architektúry v súlade so Strategickou architek</w:t>
            </w:r>
            <w:r>
              <w:t>túrou VS SR 2020 uloženou v centrálnom repozitári.</w:t>
            </w:r>
          </w:p>
          <w:p w:rsidR="00000000" w:rsidRDefault="00EB04A8">
            <w:pPr>
              <w:pStyle w:val="Normlnywebov"/>
            </w:pPr>
            <w:r>
              <w:t>Migráciou obce do IS DCOM, je obec pripojená do plne integrovaného riešenia, čím získava:</w:t>
            </w:r>
          </w:p>
          <w:p w:rsidR="00000000" w:rsidRDefault="00EB04A8">
            <w:pPr>
              <w:pStyle w:val="Normlnywebov"/>
            </w:pPr>
            <w:r>
              <w:t>-           Elektronické služby IS DCOM, ktoré sú integrované na agendové systémy obce v IS DCOM,</w:t>
            </w:r>
          </w:p>
          <w:p w:rsidR="00000000" w:rsidRDefault="00EB04A8">
            <w:pPr>
              <w:pStyle w:val="Normlnywebov"/>
            </w:pPr>
            <w:r>
              <w:t>-           Vysok</w:t>
            </w:r>
            <w:r>
              <w:t>ú mieru automatizácie pri spracovávaní agendy obce, na úradníka obce zostávajú iba procesy so samotným vytvorením rozhodnutia vo veci, prípadne iným typom odpovede klientovi samosprávy na jeho podanie,</w:t>
            </w:r>
          </w:p>
          <w:p w:rsidR="00000000" w:rsidRDefault="00EB04A8">
            <w:pPr>
              <w:pStyle w:val="Normlnywebov"/>
            </w:pPr>
            <w:r>
              <w:t>-           IS DCOM taktiež využitím integrácií na štá</w:t>
            </w:r>
            <w:r>
              <w:t>tne registre a zdrojové IS VS umožňuje overenie podkladov pre rozhodnutie, čím výrazne „odľahčuje“ klienta samosprávy aj úradníka obce od ich preukazovania napr. v listinnej forme,</w:t>
            </w:r>
          </w:p>
          <w:p w:rsidR="00000000" w:rsidRDefault="00EB04A8">
            <w:pPr>
              <w:pStyle w:val="Normlnywebov"/>
            </w:pPr>
            <w:r>
              <w:t xml:space="preserve">-           Systémy dodávateľov ISO s vytvorenou a overenou integráciou na </w:t>
            </w:r>
            <w:r>
              <w:t>IS DCOM prinášajú vyššiu mieru komfortu pre prácu úradníka obce.</w:t>
            </w:r>
          </w:p>
          <w:p w:rsidR="00000000" w:rsidRDefault="00EB04A8">
            <w:pPr>
              <w:pStyle w:val="Normlnywebov"/>
            </w:pPr>
            <w:r>
              <w:t>Migrácia obcí do vládneho cloud prispeje k naplneniu princípu využívania zdieľaných IT služieb v samospráve. Súčasne príde k zmene prístupu poskytovaniu eSlužieb verejnosti, nakoľko na poskyt</w:t>
            </w:r>
            <w:r>
              <w:t>ovanie týchto služieb začne pripojená obec/mesto využívať IS DCOM.</w:t>
            </w:r>
          </w:p>
          <w:p w:rsidR="00000000" w:rsidRDefault="00EB04A8">
            <w:pPr>
              <w:pStyle w:val="Normlnywebov"/>
            </w:pPr>
            <w:r>
              <w:rPr>
                <w:rStyle w:val="Zvraznenie"/>
              </w:rPr>
              <w:t>V rámci projektu DCOM sa ukázalo, že významná skupina obcí a miest používa IT riešenia ktoré neumožňujú bezproblémovú migráciu do DCOM. Problémy spočívajú v architektúre, funkcionalite, int</w:t>
            </w:r>
            <w:r>
              <w:rPr>
                <w:rStyle w:val="Zvraznenie"/>
              </w:rPr>
              <w:t>egrácii aj spôsobe prevádzky a bezpečnosti. Takéto obce bude možné pripojiť až po vykonaní dôkladnej analýzy, a následnom návrhu a realizácii nevyhnutných úprav na strane obce.</w:t>
            </w:r>
          </w:p>
          <w:p w:rsidR="00000000" w:rsidRDefault="00EB04A8">
            <w:pPr>
              <w:pStyle w:val="Normlnywebov"/>
            </w:pPr>
            <w:r>
              <w:t> </w:t>
            </w:r>
          </w:p>
        </w:tc>
      </w:tr>
      <w:tr w:rsidR="00000000">
        <w:trPr>
          <w:divId w:val="316762686"/>
          <w:cantSplit/>
          <w:tblCellSpacing w:w="15" w:type="dxa"/>
        </w:trPr>
        <w:tc>
          <w:tcPr>
            <w:tcW w:w="0" w:type="auto"/>
            <w:gridSpan w:val="2"/>
            <w:vAlign w:val="center"/>
            <w:hideMark/>
          </w:tcPr>
          <w:p w:rsidR="00000000" w:rsidRDefault="00EB04A8">
            <w:pPr>
              <w:pStyle w:val="Normlnywebov"/>
            </w:pPr>
            <w:r>
              <w:t>Obrázok 12 Budúci stav z pohľadu práce úradníka v integrovanom IS</w:t>
            </w:r>
          </w:p>
          <w:p w:rsidR="00000000" w:rsidRDefault="00EB04A8">
            <w:pPr>
              <w:pStyle w:val="Normlnywebov"/>
            </w:pPr>
            <w:r>
              <w:rPr>
                <w:noProof/>
              </w:rPr>
              <w:drawing>
                <wp:inline distT="0" distB="0" distL="0" distR="0">
                  <wp:extent cx="4457700" cy="3672840"/>
                  <wp:effectExtent l="0" t="0" r="0" b="3810"/>
                  <wp:docPr id="13" name="Obrázok 13" descr="C:\fec2afec89b47a0d035739a225d622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fec2afec89b47a0d035739a225d622c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57700" cy="3672840"/>
                          </a:xfrm>
                          <a:prstGeom prst="rect">
                            <a:avLst/>
                          </a:prstGeom>
                          <a:noFill/>
                          <a:ln>
                            <a:noFill/>
                          </a:ln>
                        </pic:spPr>
                      </pic:pic>
                    </a:graphicData>
                  </a:graphic>
                </wp:inline>
              </w:drawing>
            </w:r>
          </w:p>
          <w:p w:rsidR="00000000" w:rsidRDefault="00EB04A8">
            <w:pPr>
              <w:pStyle w:val="Normlnywebov"/>
            </w:pPr>
            <w:r>
              <w:t> </w:t>
            </w:r>
          </w:p>
        </w:tc>
      </w:tr>
      <w:tr w:rsidR="00000000">
        <w:trPr>
          <w:divId w:val="316762686"/>
          <w:cantSplit/>
          <w:tblCellSpacing w:w="15" w:type="dxa"/>
        </w:trPr>
        <w:tc>
          <w:tcPr>
            <w:tcW w:w="0" w:type="auto"/>
            <w:gridSpan w:val="2"/>
            <w:vAlign w:val="center"/>
            <w:hideMark/>
          </w:tcPr>
          <w:p w:rsidR="00000000" w:rsidRDefault="00EB04A8">
            <w:pPr>
              <w:pStyle w:val="Normlnywebov"/>
            </w:pPr>
            <w:r>
              <w:t>Predložené riešenie nerealizuje nové aplikačné komponenty.</w:t>
            </w:r>
          </w:p>
          <w:p w:rsidR="00000000" w:rsidRDefault="00EB04A8">
            <w:pPr>
              <w:pStyle w:val="Normlnywebov"/>
            </w:pPr>
            <w:r>
              <w:t>Pre úspešnosť projektu je potrebné:</w:t>
            </w:r>
          </w:p>
          <w:p w:rsidR="00000000" w:rsidRDefault="00EB04A8">
            <w:pPr>
              <w:numPr>
                <w:ilvl w:val="0"/>
                <w:numId w:val="13"/>
              </w:numPr>
              <w:spacing w:before="100" w:beforeAutospacing="1" w:after="100" w:afterAutospacing="1"/>
              <w:rPr>
                <w:rFonts w:eastAsia="Times New Roman"/>
              </w:rPr>
            </w:pPr>
            <w:r>
              <w:rPr>
                <w:rFonts w:eastAsia="Times New Roman"/>
              </w:rPr>
              <w:t>V harmo</w:t>
            </w:r>
            <w:r>
              <w:rPr>
                <w:rFonts w:eastAsia="Times New Roman"/>
              </w:rPr>
              <w:t>nograme projektu na migráciu údajov do DCOM vytvoriť časovú rezervu na unifikáciu údajov.</w:t>
            </w:r>
          </w:p>
          <w:p w:rsidR="00000000" w:rsidRDefault="00EB04A8">
            <w:pPr>
              <w:numPr>
                <w:ilvl w:val="0"/>
                <w:numId w:val="13"/>
              </w:numPr>
              <w:spacing w:before="100" w:beforeAutospacing="1" w:after="100" w:afterAutospacing="1"/>
              <w:rPr>
                <w:rFonts w:eastAsia="Times New Roman"/>
              </w:rPr>
            </w:pPr>
            <w:r>
              <w:rPr>
                <w:rFonts w:eastAsia="Times New Roman"/>
              </w:rPr>
              <w:t>Výpočtové a ukladacie zdroje pre cloudové služby DCOM musia byť včas navýšené na požadované hodnoty.</w:t>
            </w:r>
          </w:p>
          <w:p w:rsidR="00000000" w:rsidRDefault="00EB04A8">
            <w:pPr>
              <w:numPr>
                <w:ilvl w:val="0"/>
                <w:numId w:val="13"/>
              </w:numPr>
              <w:spacing w:before="100" w:beforeAutospacing="1" w:after="100" w:afterAutospacing="1"/>
              <w:rPr>
                <w:rFonts w:eastAsia="Times New Roman"/>
              </w:rPr>
            </w:pPr>
            <w:r>
              <w:rPr>
                <w:rFonts w:eastAsia="Times New Roman"/>
              </w:rPr>
              <w:t>V harmonograme projektu na migráciu údajov do DCOM vytvoriť časov</w:t>
            </w:r>
            <w:r>
              <w:rPr>
                <w:rFonts w:eastAsia="Times New Roman"/>
              </w:rPr>
              <w:t>ú rezervu na analýzu technologických konfliktov a ich riešenie.</w:t>
            </w:r>
          </w:p>
          <w:p w:rsidR="00000000" w:rsidRDefault="00EB04A8">
            <w:pPr>
              <w:numPr>
                <w:ilvl w:val="0"/>
                <w:numId w:val="13"/>
              </w:numPr>
              <w:spacing w:before="100" w:beforeAutospacing="1" w:after="100" w:afterAutospacing="1"/>
              <w:rPr>
                <w:rFonts w:eastAsia="Times New Roman"/>
              </w:rPr>
            </w:pPr>
            <w:r>
              <w:rPr>
                <w:rFonts w:eastAsia="Times New Roman"/>
              </w:rPr>
              <w:t>Zmluva pre pripojenie obcí a miest v zmysle tohto projektu musí umožňovať konfigurovanie technických komponentov a pre ich pripájanie musí vytvárať dostatočný rámec a právo objednávateľa prieb</w:t>
            </w:r>
            <w:r>
              <w:rPr>
                <w:rFonts w:eastAsia="Times New Roman"/>
              </w:rPr>
              <w:t>ežne upresňovať technické riešenia pre jednotlivé obce.</w:t>
            </w:r>
          </w:p>
          <w:p w:rsidR="00000000" w:rsidRDefault="00EB04A8">
            <w:pPr>
              <w:numPr>
                <w:ilvl w:val="0"/>
                <w:numId w:val="13"/>
              </w:numPr>
              <w:spacing w:before="100" w:beforeAutospacing="1" w:after="100" w:afterAutospacing="1"/>
              <w:rPr>
                <w:rFonts w:eastAsia="Times New Roman"/>
              </w:rPr>
            </w:pPr>
            <w:r>
              <w:rPr>
                <w:rFonts w:eastAsia="Times New Roman"/>
              </w:rPr>
              <w:t>V zmluve s dodávateľom na plošné rozšírenie - pripojenie nových obcí/miest - zapracovať možnosť nerealizovať pripojenie všetkých 1073 predpokladaných obcí/miest.</w:t>
            </w:r>
          </w:p>
          <w:p w:rsidR="00000000" w:rsidRDefault="00EB04A8">
            <w:pPr>
              <w:pStyle w:val="Normlnywebov"/>
            </w:pPr>
            <w:r>
              <w:rPr>
                <w:rStyle w:val="Zvraznenie"/>
              </w:rPr>
              <w:t xml:space="preserve">V prípade, že konfigurančný manažment </w:t>
            </w:r>
            <w:r>
              <w:rPr>
                <w:rStyle w:val="Zvraznenie"/>
              </w:rPr>
              <w:t>nebude obci/mestu vyhovovať, obec/mesto nebude možné pripojiť do DCOM v rámci tohto projektu. Takýto subjekt bude musieť počkať s pripojením na realizáciu relevantných úprav IS DCOM, ktoré však nie sú predmetom tohto projektu.  </w:t>
            </w:r>
          </w:p>
          <w:p w:rsidR="00000000" w:rsidRDefault="00EB04A8">
            <w:pPr>
              <w:pStyle w:val="Normlnywebov"/>
            </w:pPr>
          </w:p>
        </w:tc>
      </w:tr>
      <w:tr w:rsidR="00000000">
        <w:trPr>
          <w:divId w:val="316762686"/>
          <w:cantSplit/>
          <w:tblCellSpacing w:w="15" w:type="dxa"/>
        </w:trPr>
        <w:tc>
          <w:tcPr>
            <w:tcW w:w="0" w:type="auto"/>
            <w:gridSpan w:val="2"/>
            <w:vAlign w:val="center"/>
            <w:hideMark/>
          </w:tcPr>
          <w:p w:rsidR="00000000" w:rsidRDefault="00EB04A8">
            <w:pPr>
              <w:rPr>
                <w:rFonts w:eastAsia="Times New Roman"/>
              </w:rPr>
            </w:pPr>
            <w:r>
              <w:rPr>
                <w:rStyle w:val="Siln"/>
                <w:rFonts w:eastAsia="Times New Roman"/>
              </w:rPr>
              <w:t> Riziká                </w:t>
            </w:r>
            <w:r>
              <w:rPr>
                <w:rStyle w:val="Siln"/>
                <w:rFonts w:eastAsia="Times New Roman"/>
              </w:rPr>
              <w:t xml:space="preserve">                                                                                                                                                          Spresnenie identifikovaných rizík: </w:t>
            </w:r>
            <w:r>
              <w:rPr>
                <w:rStyle w:val="Zvraznenie"/>
                <w:rFonts w:eastAsia="Times New Roman"/>
                <w:b/>
                <w:bCs/>
              </w:rPr>
              <w:t>Odkazy na relevantné identifikátory rizík v prílohe Riziká.</w:t>
            </w:r>
          </w:p>
        </w:tc>
      </w:tr>
      <w:tr w:rsidR="00000000">
        <w:trPr>
          <w:divId w:val="316762686"/>
          <w:cantSplit/>
          <w:tblCellSpacing w:w="15" w:type="dxa"/>
        </w:trPr>
        <w:tc>
          <w:tcPr>
            <w:tcW w:w="0" w:type="auto"/>
            <w:gridSpan w:val="2"/>
            <w:vAlign w:val="center"/>
            <w:hideMark/>
          </w:tcPr>
          <w:p w:rsidR="00000000" w:rsidRDefault="00EB04A8">
            <w:pPr>
              <w:pStyle w:val="Normlnywebov"/>
            </w:pPr>
            <w:r>
              <w:t> </w:t>
            </w:r>
            <w:r>
              <w:rPr>
                <w:color w:val="000000"/>
                <w:sz w:val="27"/>
                <w:szCs w:val="27"/>
              </w:rPr>
              <w:t xml:space="preserve"> R13</w:t>
            </w:r>
            <w:r>
              <w:rPr>
                <w:color w:val="000000"/>
                <w:sz w:val="27"/>
                <w:szCs w:val="27"/>
              </w:rPr>
              <w:t xml:space="preserve"> - </w:t>
            </w:r>
            <w:bookmarkStart w:id="3" w:name="_Toc446408309"/>
            <w:bookmarkEnd w:id="3"/>
            <w:r>
              <w:rPr>
                <w:color w:val="000000"/>
                <w:sz w:val="27"/>
                <w:szCs w:val="27"/>
              </w:rPr>
              <w:t>Súbor existujúcich modulov IS DCOM nebude kompatibilný resp. vhodný pre niektoré obce/mestá.</w:t>
            </w:r>
          </w:p>
          <w:p w:rsidR="00000000" w:rsidRDefault="00EB04A8">
            <w:pPr>
              <w:pStyle w:val="Normlnywebov"/>
            </w:pPr>
            <w:r>
              <w:rPr>
                <w:color w:val="000000"/>
                <w:sz w:val="27"/>
                <w:szCs w:val="27"/>
              </w:rPr>
              <w:t xml:space="preserve">  R14 - </w:t>
            </w:r>
            <w:bookmarkStart w:id="4" w:name="_Toc446408310"/>
            <w:bookmarkEnd w:id="4"/>
            <w:r>
              <w:rPr>
                <w:color w:val="000000"/>
                <w:sz w:val="27"/>
                <w:szCs w:val="27"/>
              </w:rPr>
              <w:t>Štruktúra údajov obce/mesta preklápaných do IS DCOM nebude kompatibilná.</w:t>
            </w:r>
          </w:p>
          <w:p w:rsidR="00000000" w:rsidRDefault="00EB04A8">
            <w:pPr>
              <w:pStyle w:val="Normlnywebov"/>
            </w:pPr>
            <w:r>
              <w:rPr>
                <w:color w:val="000000"/>
                <w:sz w:val="27"/>
                <w:szCs w:val="27"/>
              </w:rPr>
              <w:t xml:space="preserve">  R15 - </w:t>
            </w:r>
            <w:bookmarkStart w:id="5" w:name="_Toc446408311"/>
            <w:bookmarkEnd w:id="5"/>
            <w:r>
              <w:rPr>
                <w:color w:val="000000"/>
                <w:sz w:val="27"/>
                <w:szCs w:val="27"/>
              </w:rPr>
              <w:t>Zvýšenie výkonu relevantných IaaS a SaaS služieb nebude včas dostupne.</w:t>
            </w:r>
          </w:p>
          <w:p w:rsidR="00000000" w:rsidRDefault="00EB04A8">
            <w:pPr>
              <w:pStyle w:val="Normlnywebov"/>
            </w:pPr>
            <w:r>
              <w:rPr>
                <w:color w:val="000000"/>
                <w:sz w:val="27"/>
                <w:szCs w:val="27"/>
              </w:rPr>
              <w:t xml:space="preserve">  R16 - </w:t>
            </w:r>
            <w:bookmarkStart w:id="6" w:name="_Toc446408312"/>
            <w:bookmarkEnd w:id="6"/>
            <w:r>
              <w:rPr>
                <w:color w:val="000000"/>
                <w:sz w:val="27"/>
                <w:szCs w:val="27"/>
              </w:rPr>
              <w:t>Pri riešení prostredia pre SOcU vznikne konflikt s riešením IKT podpory pre prenesené kompetencie.</w:t>
            </w:r>
          </w:p>
          <w:p w:rsidR="00000000" w:rsidRDefault="00EB04A8">
            <w:pPr>
              <w:pStyle w:val="Normlnywebov"/>
            </w:pPr>
            <w:r>
              <w:rPr>
                <w:color w:val="000000"/>
                <w:sz w:val="27"/>
                <w:szCs w:val="27"/>
              </w:rPr>
              <w:t xml:space="preserve">  R17 - </w:t>
            </w:r>
            <w:bookmarkStart w:id="7" w:name="_Toc446408313"/>
            <w:bookmarkEnd w:id="7"/>
            <w:r>
              <w:rPr>
                <w:color w:val="000000"/>
                <w:sz w:val="27"/>
                <w:szCs w:val="27"/>
              </w:rPr>
              <w:t>IS DCOM neumožní selektívne využívanie služieb a funkcionalít. </w:t>
            </w:r>
          </w:p>
          <w:p w:rsidR="00000000" w:rsidRDefault="00EB04A8">
            <w:pPr>
              <w:pStyle w:val="Normlnywebov"/>
            </w:pPr>
            <w:r>
              <w:rPr>
                <w:color w:val="000000"/>
                <w:sz w:val="27"/>
                <w:szCs w:val="27"/>
              </w:rPr>
              <w:t xml:space="preserve">  R </w:t>
            </w:r>
            <w:r>
              <w:rPr>
                <w:color w:val="000000"/>
                <w:sz w:val="27"/>
                <w:szCs w:val="27"/>
              </w:rPr>
              <w:t>18 -Obec po zapojení/migrácií do DCOM stratí možnosť poskytovať IT služby svojim podriadeným organizáciám</w:t>
            </w:r>
            <w:bookmarkStart w:id="8" w:name="_Toc446408314"/>
            <w:bookmarkEnd w:id="8"/>
            <w:r>
              <w:rPr>
                <w:rFonts w:ascii="Arial Narrow" w:hAnsi="Arial Narrow"/>
                <w:color w:val="000000"/>
                <w:sz w:val="18"/>
                <w:szCs w:val="18"/>
              </w:rPr>
              <w:t>.</w:t>
            </w:r>
          </w:p>
        </w:tc>
      </w:tr>
      <w:tr w:rsidR="00000000">
        <w:trPr>
          <w:divId w:val="316762686"/>
          <w:cantSplit/>
          <w:tblCellSpacing w:w="15" w:type="dxa"/>
        </w:trPr>
        <w:tc>
          <w:tcPr>
            <w:tcW w:w="0" w:type="auto"/>
            <w:vAlign w:val="center"/>
            <w:hideMark/>
          </w:tcPr>
          <w:p w:rsidR="00000000" w:rsidRDefault="00EB04A8">
            <w:pPr>
              <w:pStyle w:val="Normlnywebov"/>
            </w:pPr>
            <w:r>
              <w:rPr>
                <w:rStyle w:val="Siln"/>
              </w:rPr>
              <w:t>Prílohy</w:t>
            </w:r>
          </w:p>
        </w:tc>
        <w:tc>
          <w:tcPr>
            <w:tcW w:w="0" w:type="auto"/>
            <w:vAlign w:val="center"/>
            <w:hideMark/>
          </w:tcPr>
          <w:p w:rsidR="00000000" w:rsidRDefault="00EB04A8">
            <w:pPr>
              <w:pStyle w:val="Normlnywebov"/>
            </w:pPr>
            <w:r>
              <w:rPr>
                <w:rStyle w:val="Siln"/>
              </w:rPr>
              <w:t>Diagramy, modely, obrázky v plnom rozlíšení</w:t>
            </w:r>
          </w:p>
        </w:tc>
      </w:tr>
      <w:tr w:rsidR="00000000">
        <w:trPr>
          <w:divId w:val="316762686"/>
          <w:cantSplit/>
          <w:tblCellSpacing w:w="15" w:type="dxa"/>
        </w:trPr>
        <w:tc>
          <w:tcPr>
            <w:tcW w:w="0" w:type="auto"/>
            <w:vAlign w:val="center"/>
            <w:hideMark/>
          </w:tcPr>
          <w:p w:rsidR="00000000" w:rsidRDefault="00EB04A8">
            <w:pPr>
              <w:pStyle w:val="Normlnywebov"/>
            </w:pPr>
            <w:r>
              <w:rPr>
                <w:rFonts w:ascii="Arial Narrow" w:hAnsi="Arial Narrow"/>
                <w:color w:val="000000"/>
              </w:rPr>
              <w:t xml:space="preserve">Tabuľka 2 Riziká </w:t>
            </w:r>
          </w:p>
          <w:p w:rsidR="00000000" w:rsidRDefault="00EB04A8">
            <w:pPr>
              <w:pStyle w:val="Normlnywebov"/>
            </w:pPr>
            <w:r>
              <w:rPr>
                <w:rFonts w:ascii="Arial Narrow" w:hAnsi="Arial Narrow"/>
                <w:color w:val="000000"/>
              </w:rPr>
              <w:t xml:space="preserve">Tabuľka 3 Kritéria kvality </w:t>
            </w:r>
          </w:p>
          <w:p w:rsidR="00000000" w:rsidRDefault="00EB04A8">
            <w:pPr>
              <w:pStyle w:val="Normlnywebov"/>
            </w:pPr>
            <w:r>
              <w:rPr>
                <w:rFonts w:ascii="Arial Narrow" w:hAnsi="Arial Narrow"/>
                <w:color w:val="000000"/>
              </w:rPr>
              <w:t>Tabuľka 14 Zoznam informačných systémov </w:t>
            </w:r>
          </w:p>
          <w:p w:rsidR="00000000" w:rsidRDefault="00EB04A8">
            <w:pPr>
              <w:pStyle w:val="Normlnywebov"/>
            </w:pPr>
            <w:r>
              <w:rPr>
                <w:rFonts w:ascii="Arial Narrow" w:hAnsi="Arial Narrow"/>
                <w:color w:val="000000"/>
              </w:rPr>
              <w:t>Tabuľka 15 Aplikačné moduly</w:t>
            </w:r>
          </w:p>
          <w:p w:rsidR="00000000" w:rsidRDefault="00EB04A8">
            <w:pPr>
              <w:pStyle w:val="Normlnywebov"/>
            </w:pPr>
            <w:r>
              <w:rPr>
                <w:color w:val="000000"/>
                <w:sz w:val="27"/>
                <w:szCs w:val="27"/>
              </w:rPr>
              <w:t> </w:t>
            </w:r>
            <w:r>
              <w:rPr>
                <w:rFonts w:ascii="Arial Narrow" w:hAnsi="Arial Narrow"/>
                <w:color w:val="000000"/>
                <w:sz w:val="18"/>
                <w:szCs w:val="18"/>
              </w:rPr>
              <w:t>Tabuľka 16 Poskytované služby IS</w:t>
            </w:r>
          </w:p>
        </w:tc>
        <w:tc>
          <w:tcPr>
            <w:tcW w:w="0" w:type="auto"/>
            <w:vAlign w:val="center"/>
            <w:hideMark/>
          </w:tcPr>
          <w:p w:rsidR="00000000" w:rsidRDefault="00EB04A8">
            <w:pPr>
              <w:pStyle w:val="Normlnywebov"/>
            </w:pPr>
            <w:r>
              <w:rPr>
                <w:rStyle w:val="Zvraznenie"/>
              </w:rPr>
              <w:t>Odkazy na relevantné súbory. Prílohy obsahujú informácie vo forme modelov.</w:t>
            </w:r>
          </w:p>
        </w:tc>
      </w:tr>
    </w:tbl>
    <w:p w:rsidR="00000000" w:rsidRDefault="00EB04A8">
      <w:pPr>
        <w:pStyle w:val="Normlnywebov"/>
      </w:pPr>
      <w:r>
        <w:t> </w:t>
      </w:r>
    </w:p>
    <w:p w:rsidR="00000000" w:rsidRDefault="00EB04A8">
      <w:pPr>
        <w:pStyle w:val="Nadpis4"/>
        <w:rPr>
          <w:rFonts w:eastAsia="Times New Roman"/>
        </w:rPr>
      </w:pPr>
      <w:r>
        <w:rPr>
          <w:rFonts w:eastAsia="Times New Roman"/>
        </w:rPr>
        <w:t>2.4.2.3. Technologická architektúra</w:t>
      </w:r>
    </w:p>
    <w:p w:rsidR="00000000" w:rsidRDefault="00EB04A8">
      <w:pPr>
        <w:pStyle w:val="Normlnywebov"/>
      </w:pPr>
      <w:r>
        <w:rPr>
          <w:rStyle w:val="Zvraznenie"/>
        </w:rPr>
        <w:t>Tabuľka 13 Technologická architektúra - budúci stav</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7199"/>
        <w:gridCol w:w="2161"/>
      </w:tblGrid>
      <w:tr w:rsidR="00000000">
        <w:trPr>
          <w:divId w:val="2048333391"/>
          <w:cantSplit/>
          <w:tblCellSpacing w:w="15" w:type="dxa"/>
        </w:trPr>
        <w:tc>
          <w:tcPr>
            <w:tcW w:w="0" w:type="auto"/>
            <w:gridSpan w:val="2"/>
            <w:vAlign w:val="center"/>
            <w:hideMark/>
          </w:tcPr>
          <w:p w:rsidR="00000000" w:rsidRDefault="00EB04A8">
            <w:pPr>
              <w:pStyle w:val="Normlnywebov"/>
            </w:pPr>
            <w:r>
              <w:rPr>
                <w:rStyle w:val="Siln"/>
              </w:rPr>
              <w:t>Súhrnný popis</w:t>
            </w:r>
          </w:p>
        </w:tc>
      </w:tr>
      <w:tr w:rsidR="00000000">
        <w:trPr>
          <w:divId w:val="2048333391"/>
          <w:cantSplit/>
          <w:tblCellSpacing w:w="15" w:type="dxa"/>
        </w:trPr>
        <w:tc>
          <w:tcPr>
            <w:tcW w:w="0" w:type="auto"/>
            <w:gridSpan w:val="2"/>
            <w:vAlign w:val="center"/>
            <w:hideMark/>
          </w:tcPr>
          <w:p w:rsidR="00000000" w:rsidRDefault="00EB04A8">
            <w:pPr>
              <w:pStyle w:val="Normlnywebov"/>
            </w:pPr>
            <w:r>
              <w:t>Celá technologická architektúra datacentra samosprávy bola navrhnutá a vytvorená v rámci projektu DCOM ako škálovateľné riešenie a pre ďalšie plošné rozšírenie (pripojenie ďalších miest a obcí) je potrebné len doplniť potrebné výkonové zdroje a úložnú kapa</w:t>
            </w:r>
            <w:r>
              <w:t>citu.</w:t>
            </w:r>
          </w:p>
          <w:p w:rsidR="00000000" w:rsidRDefault="00EB04A8">
            <w:pPr>
              <w:pStyle w:val="Normlnywebov"/>
            </w:pPr>
            <w:r>
              <w:t>Projekt dodržiava:</w:t>
            </w:r>
          </w:p>
          <w:p w:rsidR="00000000" w:rsidRDefault="00EB04A8">
            <w:pPr>
              <w:pStyle w:val="Normlnywebov"/>
              <w:numPr>
                <w:ilvl w:val="0"/>
                <w:numId w:val="14"/>
              </w:numPr>
            </w:pPr>
            <w:r>
              <w:t>všetky relevantné platné štandardy vydané na základe zákona o informačných systémoch verejnej správy a o zmene a doplnení niektorých zákonov,</w:t>
            </w:r>
          </w:p>
          <w:p w:rsidR="00000000" w:rsidRDefault="00EB04A8">
            <w:pPr>
              <w:pStyle w:val="Normlnywebov"/>
              <w:numPr>
                <w:ilvl w:val="0"/>
                <w:numId w:val="14"/>
              </w:numPr>
            </w:pPr>
            <w:r>
              <w:t>všetky relevantné paragrafy zákona o elektronickej podobe výkonu pôsobnosti orgánov verej</w:t>
            </w:r>
            <w:r>
              <w:t>nej moci a o zmene a doplnení niektorých zákonov (zákon o e-Governmente),</w:t>
            </w:r>
          </w:p>
          <w:p w:rsidR="00000000" w:rsidRDefault="00EB04A8">
            <w:pPr>
              <w:pStyle w:val="Normlnywebov"/>
              <w:numPr>
                <w:ilvl w:val="0"/>
                <w:numId w:val="14"/>
              </w:numPr>
            </w:pPr>
            <w:r>
              <w:t>všetky relevantné paragrafy zákona o informačných systémoch verejnej správy a o zmene a doplnení niektorých zákonov.</w:t>
            </w:r>
          </w:p>
          <w:p w:rsidR="00000000" w:rsidRDefault="00EB04A8">
            <w:pPr>
              <w:pStyle w:val="Normlnywebov"/>
            </w:pPr>
          </w:p>
          <w:p w:rsidR="00000000" w:rsidRDefault="00EB04A8">
            <w:pPr>
              <w:pStyle w:val="Normlnywebov"/>
            </w:pPr>
            <w:r>
              <w:t>Technologická infraštruktúra DCOM je postavená na cloudovej arc</w:t>
            </w:r>
            <w:r>
              <w:t>hitektúre, ktorá umožňuje elasticky prideľovať zdroje aplikáciám na základe ich potreby. Súčasťou technologického vybavenia je sieťová a bezpečnostná infraštruktúra, systémy pre ukladanie a zálohovanie dát a podporné infraštruktúrne služby potrebné pre pre</w:t>
            </w:r>
            <w:r>
              <w:t>vádzku služieb dátového centra. Takéto riešenie predstavuje pre obce a mestá najefektívnejšie plnenie požiadaviek kladených na ISVS, najmä vysokú dostupnosť a obnovu po havárii.</w:t>
            </w:r>
          </w:p>
          <w:p w:rsidR="00000000" w:rsidRDefault="00EB04A8">
            <w:pPr>
              <w:pStyle w:val="Normlnywebov"/>
            </w:pPr>
            <w:r>
              <w:t>Základné komponenty dátového centra DCOM poskytujúceho predovšetkým služby typ</w:t>
            </w:r>
            <w:r>
              <w:t>u IaaS a SaaS pre obce a mestá sú na obrázku znázorňujúcom technické riešenie.</w:t>
            </w:r>
          </w:p>
          <w:p w:rsidR="00000000" w:rsidRDefault="00EB04A8">
            <w:pPr>
              <w:pStyle w:val="Normlnywebov"/>
            </w:pPr>
            <w:r>
              <w:t>V každej pripájanej obci bude potrebné skontrolovať vhodnosť a kompatibilitu existujúcej komunikačnej infraštruktúry a úroveň jej zabezpečenia. Z takejto analýzy vznikne pre kaž</w:t>
            </w:r>
            <w:r>
              <w:t>dú pripájanú obec zoznam požiadaviek na dodanie technológie a potrebné služby. Z tohto dôvodu bude rozsah realizácie pripojenia pre každú obec iný, bude však zostavený zo štandardných komponentov a služieb definovaných v projekte.</w:t>
            </w:r>
          </w:p>
          <w:p w:rsidR="00000000" w:rsidRDefault="00EB04A8">
            <w:pPr>
              <w:pStyle w:val="Normlnywebov"/>
            </w:pPr>
            <w:r>
              <w:t>Projekt realizuje princíp</w:t>
            </w:r>
            <w:r>
              <w:t xml:space="preserve"> Cloud prednostne, rozšírením využitia vládneho cloudu pre ďalšie obce a mestá.</w:t>
            </w:r>
          </w:p>
          <w:p w:rsidR="00000000" w:rsidRDefault="00EB04A8">
            <w:pPr>
              <w:pStyle w:val="Normlnywebov"/>
            </w:pPr>
            <w:r>
              <w:t>V súvislosti s výrazným nárastom počtu pripojených obcí, bude potrebné technologickú a systémovú infraštruktúru DCOM rozšíriť o nasledovné komponenty:</w:t>
            </w:r>
          </w:p>
          <w:p w:rsidR="00000000" w:rsidRDefault="00EB04A8">
            <w:pPr>
              <w:pStyle w:val="Normlnywebov"/>
              <w:numPr>
                <w:ilvl w:val="0"/>
                <w:numId w:val="15"/>
              </w:numPr>
            </w:pPr>
            <w:r>
              <w:t>Infraštruktúra dátového centra samosprávy - výpočtový výkon a priestor pre ukladanie údajov (storaqe)</w:t>
            </w:r>
          </w:p>
          <w:p w:rsidR="00000000" w:rsidRDefault="00EB04A8">
            <w:pPr>
              <w:pStyle w:val="Normlnywebov"/>
              <w:ind w:left="720"/>
            </w:pPr>
            <w:r>
              <w:t>Pre zvýšenie výkonu dátového centra sa zvolil koncept, ktorý rozšíri potrebnú kapacitu prostredníctvom výpočtových a dátových prostriedkov z vládneho clou</w:t>
            </w:r>
            <w:r>
              <w:t>du. Existujúca záložná lokalita DCOM bude zmigrovaná na platformu vládneho cloudu v záložnom dátovom centre. Technológia zo záložnej lokality DCOM sa následne použije pre rozšírenie kapacity primárneho dátového centra DCOM. Zabezpečí sa tak integrácia s vl</w:t>
            </w:r>
            <w:r>
              <w:t>ádnym cloudom a nebude tak potrebné obstarať výpočtovú kapacitu pre pokrytie zvýšených výkonových požiadaviek. Je však potrebné obstarať komponenty a licencie, ktoré vládny cloud neposkytuje a to sú:</w:t>
            </w:r>
          </w:p>
          <w:p w:rsidR="00000000" w:rsidRDefault="00EB04A8">
            <w:pPr>
              <w:pStyle w:val="Normlnywebov"/>
              <w:numPr>
                <w:ilvl w:val="1"/>
                <w:numId w:val="15"/>
              </w:numPr>
            </w:pPr>
            <w:r>
              <w:t>Zvýšenie výkonu aplikačných komponentov (softvérové lice</w:t>
            </w:r>
            <w:r>
              <w:t>ncie)</w:t>
            </w:r>
          </w:p>
          <w:p w:rsidR="00000000" w:rsidRDefault="00EB04A8">
            <w:pPr>
              <w:pStyle w:val="Normlnywebov"/>
              <w:numPr>
                <w:ilvl w:val="1"/>
                <w:numId w:val="15"/>
              </w:numPr>
            </w:pPr>
            <w:r>
              <w:t>Komponenty pre komunikačné služby (pripojenie obce na DC a služby DCOM)</w:t>
            </w:r>
          </w:p>
          <w:p w:rsidR="00000000" w:rsidRDefault="00EB04A8">
            <w:pPr>
              <w:pStyle w:val="Normlnywebov"/>
              <w:numPr>
                <w:ilvl w:val="1"/>
                <w:numId w:val="15"/>
              </w:numPr>
            </w:pPr>
            <w:r>
              <w:t>Zvýšenie výkonu a kapacity dátového priestoru v primárnom dátovom centre DCOM</w:t>
            </w:r>
          </w:p>
          <w:p w:rsidR="00000000" w:rsidRDefault="00EB04A8">
            <w:pPr>
              <w:pStyle w:val="Normlnywebov"/>
              <w:numPr>
                <w:ilvl w:val="1"/>
                <w:numId w:val="15"/>
              </w:numPr>
            </w:pPr>
            <w:r>
              <w:t>Zvýšenie výkonu a kapacity zálohovacieho systému (doplnenie páskovej knižnice a licencií na zálohova</w:t>
            </w:r>
            <w:r>
              <w:t>cí softvér)</w:t>
            </w:r>
          </w:p>
          <w:p w:rsidR="00000000" w:rsidRDefault="00EB04A8">
            <w:pPr>
              <w:pStyle w:val="Normlnywebov"/>
              <w:numPr>
                <w:ilvl w:val="1"/>
                <w:numId w:val="15"/>
              </w:numPr>
            </w:pPr>
            <w:r>
              <w:t>Zvýšenie výkonnosti databázovej vrstvy (softvérové licencie)</w:t>
            </w:r>
          </w:p>
          <w:p w:rsidR="00000000" w:rsidRDefault="00EB04A8">
            <w:pPr>
              <w:numPr>
                <w:ilvl w:val="1"/>
                <w:numId w:val="15"/>
              </w:numPr>
              <w:spacing w:before="100" w:beforeAutospacing="1" w:after="100" w:afterAutospacing="1"/>
              <w:rPr>
                <w:rFonts w:eastAsia="Times New Roman"/>
              </w:rPr>
            </w:pPr>
            <w:r>
              <w:rPr>
                <w:rFonts w:eastAsia="Times New Roman"/>
              </w:rPr>
              <w:t>Zlepšenie automatizácie jednotlivých činností </w:t>
            </w:r>
          </w:p>
        </w:tc>
      </w:tr>
      <w:tr w:rsidR="00000000">
        <w:trPr>
          <w:divId w:val="2048333391"/>
          <w:cantSplit/>
          <w:tblCellSpacing w:w="15" w:type="dxa"/>
        </w:trPr>
        <w:tc>
          <w:tcPr>
            <w:tcW w:w="0" w:type="auto"/>
            <w:gridSpan w:val="2"/>
            <w:vAlign w:val="center"/>
            <w:hideMark/>
          </w:tcPr>
          <w:p w:rsidR="00000000" w:rsidRDefault="00EB04A8">
            <w:pPr>
              <w:pStyle w:val="Normlnywebov"/>
            </w:pPr>
            <w:bookmarkStart w:id="9" w:name="_Toc498017056"/>
            <w:bookmarkEnd w:id="9"/>
            <w:r>
              <w:t>Obrázok 13 Cieľová technologická architektúra dátového centra (bez zmeny)</w:t>
            </w:r>
          </w:p>
          <w:p w:rsidR="00000000" w:rsidRDefault="00EB04A8">
            <w:pPr>
              <w:pStyle w:val="Normlnywebov"/>
            </w:pPr>
            <w:r>
              <w:rPr>
                <w:color w:val="000000"/>
                <w:sz w:val="27"/>
                <w:szCs w:val="27"/>
              </w:rPr>
              <w:t> </w:t>
            </w:r>
            <w:r>
              <w:rPr>
                <w:noProof/>
                <w:color w:val="000000"/>
                <w:sz w:val="27"/>
                <w:szCs w:val="27"/>
              </w:rPr>
              <w:drawing>
                <wp:inline distT="0" distB="0" distL="0" distR="0">
                  <wp:extent cx="4457700" cy="4320540"/>
                  <wp:effectExtent l="0" t="0" r="0" b="3810"/>
                  <wp:docPr id="14" name="Obrázok 14" descr="C:\cc011267c4543c6f04360274bb7dcb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cc011267c4543c6f04360274bb7dcb9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7700" cy="4320540"/>
                          </a:xfrm>
                          <a:prstGeom prst="rect">
                            <a:avLst/>
                          </a:prstGeom>
                          <a:noFill/>
                          <a:ln>
                            <a:noFill/>
                          </a:ln>
                        </pic:spPr>
                      </pic:pic>
                    </a:graphicData>
                  </a:graphic>
                </wp:inline>
              </w:drawing>
            </w:r>
          </w:p>
          <w:p w:rsidR="00000000" w:rsidRDefault="00EB04A8">
            <w:pPr>
              <w:pStyle w:val="Normlnywebov"/>
            </w:pPr>
            <w:r>
              <w:t>Technologická architektúra obce</w:t>
            </w:r>
          </w:p>
          <w:p w:rsidR="00000000" w:rsidRDefault="00EB04A8">
            <w:pPr>
              <w:pStyle w:val="Normlnywebov"/>
            </w:pPr>
            <w:r>
              <w:t>V rámci projektu budú dodané obci koncové zariadenia (PC/NTB) s operačným systémom a softvérovým vybavením pre bezpečný prístup k </w:t>
            </w:r>
            <w:r>
              <w:t>centrálne poskytovaným aplikáciám a službám IS DCOM. Tieto zariadenia budú centrálne spravované a aktualizované z dátového centra DCOM. Väčšinu aplikácií už nebude potrebné inštalovať a spravovať na lokálnej úrovni a tiež zabezpečovať individuálne prístupy</w:t>
            </w:r>
            <w:r>
              <w:t xml:space="preserve"> k ÚPVS, centrálnym registrom a niektorým externým službám (mail, web hosting apod.) pretože budú poskytované z centrálneho dátového centra bezpečným spôsobom prostredníctvom modulov IS DCOM. Taktiež nebude potrebné prevádzkovať niektoré aplikácie a lokáln</w:t>
            </w:r>
            <w:r>
              <w:t>e databázy, ktoré budú zmigrované a následne poskytované a prevádzkované z dátového centra DCOM jednotlivými modulmi alebo certifikovanými ISO dodávateľmi. Na koncové zariadenia sa však budú môcť individuálne inštalovať podporné aplikácie obce, ktoré nie s</w:t>
            </w:r>
            <w:r>
              <w:t>ú poskytované centrálnym systémom DCOM (vzdelávanie, tretí sektor apod.) Súčasťou riešenia pripojenia obce je aj centrálne riadené zariadenie pre zálohovanie a obnovu koncových zariadení (PC/NTB), ktoré zabezpečí ochranu pred stratou (poškodenie disku, vym</w:t>
            </w:r>
            <w:r>
              <w:t>azanie súborov) alebo poškodením dát na lokálnych diskoch. Taktiež bude dodané zariadenie na pripojenie do siete FINNET4, ktoré bude slúžiť na pripojenie v prípade výpadku primárneho pripojenia obce do DCOM cez sieť Internet.</w:t>
            </w:r>
          </w:p>
          <w:p w:rsidR="00000000" w:rsidRDefault="00EB04A8">
            <w:pPr>
              <w:pStyle w:val="Normlnywebov"/>
            </w:pPr>
            <w:bookmarkStart w:id="10" w:name="_Toc498017057"/>
            <w:bookmarkEnd w:id="10"/>
            <w:r>
              <w:t>Obrázok 14 Cieľová architektúr</w:t>
            </w:r>
            <w:r>
              <w:t>a obce a jej pripojenie do IS DCOM </w:t>
            </w:r>
          </w:p>
          <w:p w:rsidR="00000000" w:rsidRDefault="00EB04A8">
            <w:pPr>
              <w:rPr>
                <w:rFonts w:eastAsia="Times New Roman"/>
              </w:rPr>
            </w:pPr>
            <w:r>
              <w:rPr>
                <w:rFonts w:eastAsia="Times New Roman"/>
                <w:noProof/>
                <w:color w:val="000000"/>
                <w:sz w:val="27"/>
                <w:szCs w:val="27"/>
              </w:rPr>
              <w:drawing>
                <wp:inline distT="0" distB="0" distL="0" distR="0">
                  <wp:extent cx="4457700" cy="2293620"/>
                  <wp:effectExtent l="0" t="0" r="0" b="0"/>
                  <wp:docPr id="15" name="Obrázok 15" descr="C:\bd49e967632c4d30b1a428003b305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bd49e967632c4d30b1a428003b30539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57700" cy="2293620"/>
                          </a:xfrm>
                          <a:prstGeom prst="rect">
                            <a:avLst/>
                          </a:prstGeom>
                          <a:noFill/>
                          <a:ln>
                            <a:noFill/>
                          </a:ln>
                        </pic:spPr>
                      </pic:pic>
                    </a:graphicData>
                  </a:graphic>
                </wp:inline>
              </w:drawing>
            </w:r>
            <w:r>
              <w:rPr>
                <w:rFonts w:eastAsia="Times New Roman"/>
                <w:color w:val="000000"/>
                <w:sz w:val="27"/>
                <w:szCs w:val="27"/>
              </w:rPr>
              <w:t> </w:t>
            </w:r>
          </w:p>
          <w:p w:rsidR="00000000" w:rsidRDefault="00EB04A8">
            <w:pPr>
              <w:pStyle w:val="Normlnywebov"/>
            </w:pPr>
            <w:r>
              <w:t>Vybavenie koncových používateľov na obciach (zamestnanci)</w:t>
            </w:r>
          </w:p>
          <w:p w:rsidR="00000000" w:rsidRDefault="00EB04A8">
            <w:pPr>
              <w:pStyle w:val="Normlnywebov"/>
              <w:numPr>
                <w:ilvl w:val="0"/>
                <w:numId w:val="16"/>
              </w:numPr>
            </w:pPr>
            <w:r>
              <w:t>Výpočtová t</w:t>
            </w:r>
            <w:r>
              <w:t>echnika pre 7005 používateľov – PC/NB a multifunkčné tlačiarne</w:t>
            </w:r>
          </w:p>
          <w:p w:rsidR="00000000" w:rsidRDefault="00EB04A8">
            <w:pPr>
              <w:pStyle w:val="Normlnywebov"/>
              <w:numPr>
                <w:ilvl w:val="0"/>
                <w:numId w:val="16"/>
              </w:numPr>
            </w:pPr>
            <w:r>
              <w:t>Licencie kancelárskeho SW</w:t>
            </w:r>
          </w:p>
          <w:p w:rsidR="00000000" w:rsidRDefault="00EB04A8">
            <w:pPr>
              <w:pStyle w:val="Normlnywebov"/>
              <w:numPr>
                <w:ilvl w:val="0"/>
                <w:numId w:val="16"/>
              </w:numPr>
            </w:pPr>
            <w:r>
              <w:t>Licencie antivírového SW</w:t>
            </w:r>
          </w:p>
          <w:p w:rsidR="00000000" w:rsidRDefault="00EB04A8">
            <w:pPr>
              <w:pStyle w:val="Normlnywebov"/>
            </w:pPr>
            <w:r>
              <w:t> </w:t>
            </w:r>
          </w:p>
          <w:p w:rsidR="00000000" w:rsidRDefault="00EB04A8">
            <w:pPr>
              <w:pStyle w:val="Normlnywebov"/>
            </w:pPr>
            <w:r>
              <w:rPr>
                <w:rStyle w:val="Siln"/>
              </w:rPr>
              <w:t>Zdôvodnenie výberu koncových zariadení</w:t>
            </w:r>
          </w:p>
          <w:p w:rsidR="00000000" w:rsidRDefault="00EB04A8">
            <w:pPr>
              <w:pStyle w:val="Normlnywebov"/>
            </w:pPr>
            <w:r>
              <w:t>Potreba vybavenia obcí koncovými zariadeniami (prístupové terminály, multifunkčné zariadenia,...), vychádza zo skutočnosti, že existujúci HW na obciach môže byť zastaraný a je typovo výrazne fragmentovaný (rôzny výkon, rôzne verzie operačného systému, rôzn</w:t>
            </w:r>
            <w:r>
              <w:t>i výrobcovia). Inštalácia a následná starostlivosť o vysoko fragmentované koncové zariadenia by bola veľmi nákladná a mohla by byť zdrojom zníženej spoľahlivosti celého riešenia. Koncové zariadenia na obciach, ktoré boli zabezpečené najmä vďaka národným pr</w:t>
            </w:r>
            <w:r>
              <w:t>ojektom Elektronizácia služieb matriky a Integrované obslužné miesta, pokryli len zanedbateľnú časť potreby cieľovej skupiny obcí.</w:t>
            </w:r>
          </w:p>
          <w:p w:rsidR="00000000" w:rsidRDefault="00EB04A8">
            <w:pPr>
              <w:pStyle w:val="Normlnywebov"/>
            </w:pPr>
            <w:r>
              <w:t>Ako prístupové zariadenia k centrálnym službám cloudu v mestách a obciach navrhujeme bežný personálny počítač. Jednak sú ceno</w:t>
            </w:r>
            <w:r>
              <w:t>vo identické s jednoúčelovými prístupovými terminálmi, ale najmä umožňujú fungovanie v hybridnom režime, keď sú paralelne používané na prístup ku službám vo vládnom cloude, a súčasne na nich môžu bežať lokálne inštalované aplikácie. Z technických a organiz</w:t>
            </w:r>
            <w:r>
              <w:t>ačných dôvodov nie je možné plánovať jednokrokový projekt prechodu miest a obcí z lokálneho do centrálneho režimu. Prechod musí byť postupný, musí mať nevyhnutné prechodné obdobie, počas ktorého budú vedľa seba fungovať oba režimy práce. Hlavným dôvodom sú</w:t>
            </w:r>
            <w:r>
              <w:t xml:space="preserve"> stále relatívne pomalé linky, druhým dôvodom sú technicko-organizačné bariéry spojené s migráciou veľkého počtu aplikácií tretích strán, ktoré obce dnes používajú do cloudu. Tretím dôvodom je bezpečnostný dôvod. V architektúre DCOMu je VPN tunel použitý a</w:t>
            </w:r>
            <w:r>
              <w:t>ko kľúčový bezpečnostný prvok, vybudovaný práve prostredníctvom personálneho počítača. Podobne by mohli na termináloch nastať problémy pri podpisovaní čipovou kartou (eID, ZEP).</w:t>
            </w:r>
          </w:p>
          <w:p w:rsidR="00000000" w:rsidRDefault="00EB04A8">
            <w:pPr>
              <w:pStyle w:val="Normlnywebov"/>
            </w:pPr>
            <w:r>
              <w:t>V nasledujúcej časti detailne popíšeme zdôvodnenie potreby jednotlivého typu h</w:t>
            </w:r>
            <w:r>
              <w:t>ardvéru pre obce</w:t>
            </w:r>
          </w:p>
          <w:p w:rsidR="00000000" w:rsidRDefault="00EB04A8">
            <w:pPr>
              <w:pStyle w:val="Normlnywebov"/>
            </w:pPr>
            <w:r>
              <w:rPr>
                <w:color w:val="000000"/>
                <w:sz w:val="27"/>
                <w:szCs w:val="27"/>
              </w:rPr>
              <w:t> </w:t>
            </w:r>
          </w:p>
          <w:p w:rsidR="00000000" w:rsidRDefault="00EB04A8">
            <w:pPr>
              <w:pStyle w:val="Normlnywebov"/>
              <w:spacing w:before="0" w:beforeAutospacing="0" w:after="160" w:afterAutospacing="0"/>
            </w:pPr>
            <w:r>
              <w:rPr>
                <w:rStyle w:val="Zvraznenie"/>
                <w:rFonts w:ascii="Arial" w:hAnsi="Arial" w:cs="Arial"/>
                <w:color w:val="000000"/>
                <w:sz w:val="21"/>
                <w:szCs w:val="21"/>
              </w:rPr>
              <w:t>Notebooky a desktopy</w:t>
            </w:r>
          </w:p>
          <w:p w:rsidR="00000000" w:rsidRDefault="00EB04A8">
            <w:pPr>
              <w:pStyle w:val="Normlnywebov"/>
            </w:pPr>
            <w:r>
              <w:rPr>
                <w:rFonts w:ascii="Arial" w:hAnsi="Arial" w:cs="Arial"/>
                <w:color w:val="000000"/>
                <w:sz w:val="21"/>
                <w:szCs w:val="21"/>
              </w:rPr>
              <w:t>Potreba vybavenia obcí koncovými zariadeniami (prístupové terminály, multifunkčné zariadenia,...), vychádza zo skutočnosti, že existujúci HW na obciach môže byť zastaraný a je typovo výrazne fragmentovaný (rôzny výko</w:t>
            </w:r>
            <w:r>
              <w:rPr>
                <w:rFonts w:ascii="Arial" w:hAnsi="Arial" w:cs="Arial"/>
                <w:color w:val="000000"/>
                <w:sz w:val="21"/>
                <w:szCs w:val="21"/>
              </w:rPr>
              <w:t>n, rôzne verzie operačného systému, rôzni výrobcovia). Inštalácia a následná starostlivosť o vysoko fragmentované koncové zariadenia by bola veľmi nákladná a mohla by byť zdrojom zníženej spoľahlivosti celého riešenia. Hlavným nástrojom komunikácie obce a </w:t>
            </w:r>
            <w:r>
              <w:rPr>
                <w:rFonts w:ascii="Arial" w:hAnsi="Arial" w:cs="Arial"/>
                <w:color w:val="000000"/>
                <w:sz w:val="21"/>
                <w:szCs w:val="21"/>
              </w:rPr>
              <w:t>centrálnym systémom DCOM v Cloude bude osobný počítač (PC alebo Notebook). Rozhodnutie pre tento typ zariadenia bolo podmienené štýlom práce úradníka. Hoci cloudové riešenia často preferujú terminálového tenkého klienta, tento model prevádzky v kontexte je</w:t>
            </w:r>
            <w:r>
              <w:rPr>
                <w:rFonts w:ascii="Arial" w:hAnsi="Arial" w:cs="Arial"/>
                <w:color w:val="000000"/>
                <w:sz w:val="21"/>
                <w:szCs w:val="21"/>
              </w:rPr>
              <w:t xml:space="preserve">ho využitia v prostredí užívateľov systému DCOM nie je v súčasnosti vhodný. Terminálový tenký klient nie je schopný v súčasnej dobe v plnej miere nahradiť počítač (čo však platí opačne). Okrem schopnosti komunikovať s centrálnou infraštruktúrou IS DCOM je </w:t>
            </w:r>
            <w:r>
              <w:rPr>
                <w:rFonts w:ascii="Arial" w:hAnsi="Arial" w:cs="Arial"/>
                <w:color w:val="000000"/>
                <w:sz w:val="21"/>
                <w:szCs w:val="21"/>
              </w:rPr>
              <w:t>počítač schopný spustiť aplikácie tretích strán vyvinuté pre systém Windows, ktoré sú spravidla na strane obce používané (napr. kancelársky balík alebo ovládací program kamerového systému). PC tak v podmienkach obce plní úlohu jediného zariadenia schopného</w:t>
            </w:r>
            <w:r>
              <w:rPr>
                <w:rFonts w:ascii="Arial" w:hAnsi="Arial" w:cs="Arial"/>
                <w:color w:val="000000"/>
                <w:sz w:val="21"/>
                <w:szCs w:val="21"/>
              </w:rPr>
              <w:t xml:space="preserve"> spracovávať jej údaje. Tu je potrebné zdôrazniť, že paralelné nasadenie terminálového tenkého klienta by v prostredí obce znamenalo nutnosť pracovať na dvoch koncových zariadeniach.</w:t>
            </w:r>
          </w:p>
          <w:p w:rsidR="00000000" w:rsidRDefault="00EB04A8">
            <w:pPr>
              <w:pStyle w:val="Normlnywebov"/>
            </w:pPr>
            <w:r>
              <w:rPr>
                <w:rFonts w:ascii="Arial" w:hAnsi="Arial" w:cs="Arial"/>
                <w:color w:val="000000"/>
                <w:sz w:val="21"/>
                <w:szCs w:val="21"/>
              </w:rPr>
              <w:t>V kontexte prípadnej zmeny spôsobu práce úradníkov je potrebné vziať do ú</w:t>
            </w:r>
            <w:r>
              <w:rPr>
                <w:rFonts w:ascii="Arial" w:hAnsi="Arial" w:cs="Arial"/>
                <w:color w:val="000000"/>
                <w:sz w:val="21"/>
                <w:szCs w:val="21"/>
              </w:rPr>
              <w:t>vahy aj potrebu ich zaškolenia súvisiaceho s novým typom koncového zariadenia, s čím súvisia vyššie náklady a neefektívna zmena postupov spojených s kombinovaným využívaním plnohodnotného osobného počítača s iným koncovým zariadením. </w:t>
            </w:r>
          </w:p>
          <w:p w:rsidR="00000000" w:rsidRDefault="00EB04A8">
            <w:pPr>
              <w:pStyle w:val="Normlnywebov"/>
            </w:pPr>
            <w:r>
              <w:rPr>
                <w:rFonts w:ascii="Arial" w:hAnsi="Arial" w:cs="Arial"/>
                <w:color w:val="000000"/>
                <w:sz w:val="21"/>
                <w:szCs w:val="21"/>
              </w:rPr>
              <w:t>Vhodnosť PC dodávanéh</w:t>
            </w:r>
            <w:r>
              <w:rPr>
                <w:rFonts w:ascii="Arial" w:hAnsi="Arial" w:cs="Arial"/>
                <w:color w:val="000000"/>
                <w:sz w:val="21"/>
                <w:szCs w:val="21"/>
              </w:rPr>
              <w:t>o prostredníctvom projektu DCOM+ z pohľadu jeho využitia ako klienta IS DCOM potvrdzuje bezpečnostná architektúra vybudovaného riešenia. V IS DCOM je komunikácia koncového PC s cloudom zabezpečená prostredníctvom šifrovaného VPN tunelu, kde toto bezpečné s</w:t>
            </w:r>
            <w:r>
              <w:rPr>
                <w:rFonts w:ascii="Arial" w:hAnsi="Arial" w:cs="Arial"/>
                <w:color w:val="000000"/>
                <w:sz w:val="21"/>
                <w:szCs w:val="21"/>
              </w:rPr>
              <w:t xml:space="preserve">pojenie sa vytvára práve na koncovom počítači. Iba takýmto spôsobom vieme zabezpečiť aby sa tieto koncové počítače na obciach spravovali centrálne, boli v jednej doméne, mali spoločný mail server, aby servis prebiehal v čo najväčšej možnej miere vzdialene </w:t>
            </w:r>
            <w:r>
              <w:rPr>
                <w:rFonts w:ascii="Arial" w:hAnsi="Arial" w:cs="Arial"/>
                <w:color w:val="000000"/>
                <w:sz w:val="21"/>
                <w:szCs w:val="21"/>
              </w:rPr>
              <w:t>a centrálnym spôsobom čím sa bude napĺňať cieľ poskytovať obciam ITaaS čo je pre nich efektívnejšie a hospodárnejšie.</w:t>
            </w:r>
          </w:p>
          <w:p w:rsidR="00000000" w:rsidRDefault="00EB04A8">
            <w:pPr>
              <w:pStyle w:val="Normlnywebov"/>
            </w:pPr>
            <w:r>
              <w:rPr>
                <w:rFonts w:ascii="Arial" w:hAnsi="Arial" w:cs="Arial"/>
                <w:color w:val="000000"/>
                <w:sz w:val="21"/>
                <w:szCs w:val="21"/>
              </w:rPr>
              <w:t>Každý jeden počítač tak vytvára samostatný VPN tunel, čo je výhodou najmä pri notebookoch, ktoré vďaka tomu nie sú s prácou v </w:t>
            </w:r>
            <w:r>
              <w:rPr>
                <w:rFonts w:ascii="Arial" w:hAnsi="Arial" w:cs="Arial"/>
                <w:color w:val="000000"/>
                <w:sz w:val="21"/>
                <w:szCs w:val="21"/>
              </w:rPr>
              <w:t>cloude zviazané s lokálnou sieťou úradu, ale je možné na nich pracovať v podstate kdekoľvek, kde je internetové pripojenie. Takéto riešenie eliminuje riziká spojené s rôznorodou infraštruktúrou lokálnych poskytovateľov internetového pripojenia ako aj zabez</w:t>
            </w:r>
            <w:r>
              <w:rPr>
                <w:rFonts w:ascii="Arial" w:hAnsi="Arial" w:cs="Arial"/>
                <w:color w:val="000000"/>
                <w:sz w:val="21"/>
                <w:szCs w:val="21"/>
              </w:rPr>
              <w:t>pečuje centrálnu správu koncových PC ITaaS. Užívateľom napr. nie je umožnené aby si bez kontroly lokálne inštalovali nové aplikácie a tým znižovali funkčnosť a bezpečnosť samotného spravovaného PC. Obec vďaka projektu DCOM+ dostáva služby (ITaaS), ktoré by</w:t>
            </w:r>
            <w:r>
              <w:rPr>
                <w:rFonts w:ascii="Arial" w:hAnsi="Arial" w:cs="Arial"/>
                <w:color w:val="000000"/>
                <w:sz w:val="21"/>
                <w:szCs w:val="21"/>
              </w:rPr>
              <w:t xml:space="preserve"> nemohla dostávať v prípade žeby sa na prístup do IS DCOM použilo ich vlastné PC a to napr.: </w:t>
            </w:r>
          </w:p>
          <w:p w:rsidR="00000000" w:rsidRDefault="00EB04A8">
            <w:pPr>
              <w:numPr>
                <w:ilvl w:val="0"/>
                <w:numId w:val="17"/>
              </w:numPr>
              <w:spacing w:before="100" w:beforeAutospacing="1" w:after="100" w:afterAutospacing="1"/>
              <w:rPr>
                <w:rFonts w:eastAsia="Times New Roman"/>
              </w:rPr>
            </w:pPr>
            <w:r>
              <w:rPr>
                <w:rFonts w:eastAsia="Times New Roman"/>
              </w:rPr>
              <w:t>spoločná doména IS DCOM</w:t>
            </w:r>
          </w:p>
          <w:p w:rsidR="00000000" w:rsidRDefault="00EB04A8">
            <w:pPr>
              <w:numPr>
                <w:ilvl w:val="0"/>
                <w:numId w:val="17"/>
              </w:numPr>
              <w:spacing w:before="100" w:beforeAutospacing="1" w:after="100" w:afterAutospacing="1"/>
              <w:rPr>
                <w:rFonts w:eastAsia="Times New Roman"/>
              </w:rPr>
            </w:pPr>
            <w:r>
              <w:rPr>
                <w:rFonts w:eastAsia="Times New Roman"/>
              </w:rPr>
              <w:t>centrálny mailový server</w:t>
            </w:r>
          </w:p>
          <w:p w:rsidR="00000000" w:rsidRDefault="00EB04A8">
            <w:pPr>
              <w:numPr>
                <w:ilvl w:val="0"/>
                <w:numId w:val="17"/>
              </w:numPr>
              <w:spacing w:before="100" w:beforeAutospacing="1" w:after="100" w:afterAutospacing="1"/>
              <w:rPr>
                <w:rFonts w:eastAsia="Times New Roman"/>
              </w:rPr>
            </w:pPr>
            <w:r>
              <w:rPr>
                <w:rFonts w:eastAsia="Times New Roman"/>
              </w:rPr>
              <w:t>centrálne spravovaný a aktualizovaný lokálny firewall a antivírus</w:t>
            </w:r>
          </w:p>
          <w:p w:rsidR="00000000" w:rsidRDefault="00EB04A8">
            <w:pPr>
              <w:numPr>
                <w:ilvl w:val="0"/>
                <w:numId w:val="17"/>
              </w:numPr>
              <w:spacing w:before="100" w:beforeAutospacing="1" w:after="100" w:afterAutospacing="1"/>
              <w:rPr>
                <w:rFonts w:eastAsia="Times New Roman"/>
              </w:rPr>
            </w:pPr>
            <w:r>
              <w:rPr>
                <w:rFonts w:eastAsia="Times New Roman"/>
              </w:rPr>
              <w:t>centrálne riadenie inštalovania aplikácií tretí</w:t>
            </w:r>
            <w:r>
              <w:rPr>
                <w:rFonts w:eastAsia="Times New Roman"/>
              </w:rPr>
              <w:t>ch strán</w:t>
            </w:r>
          </w:p>
          <w:p w:rsidR="00000000" w:rsidRDefault="00EB04A8">
            <w:pPr>
              <w:numPr>
                <w:ilvl w:val="0"/>
                <w:numId w:val="17"/>
              </w:numPr>
              <w:spacing w:before="100" w:beforeAutospacing="1" w:after="100" w:afterAutospacing="1"/>
              <w:rPr>
                <w:rFonts w:eastAsia="Times New Roman"/>
              </w:rPr>
            </w:pPr>
            <w:r>
              <w:rPr>
                <w:rFonts w:eastAsia="Times New Roman"/>
              </w:rPr>
              <w:t>aktualizácia všetkých aplikácii a komponentov PC</w:t>
            </w:r>
          </w:p>
          <w:p w:rsidR="00000000" w:rsidRDefault="00EB04A8">
            <w:pPr>
              <w:numPr>
                <w:ilvl w:val="0"/>
                <w:numId w:val="17"/>
              </w:numPr>
              <w:spacing w:before="100" w:beforeAutospacing="1" w:after="100" w:afterAutospacing="1"/>
              <w:rPr>
                <w:rFonts w:eastAsia="Times New Roman"/>
              </w:rPr>
            </w:pPr>
            <w:r>
              <w:rPr>
                <w:rFonts w:eastAsia="Times New Roman"/>
              </w:rPr>
              <w:t>vzdialená správa a servis</w:t>
            </w:r>
          </w:p>
          <w:p w:rsidR="00000000" w:rsidRDefault="00EB04A8">
            <w:pPr>
              <w:pStyle w:val="Normlnywebov"/>
            </w:pPr>
            <w:r>
              <w:rPr>
                <w:rFonts w:ascii="Arial" w:hAnsi="Arial" w:cs="Arial"/>
                <w:color w:val="000000"/>
                <w:sz w:val="21"/>
                <w:szCs w:val="21"/>
              </w:rPr>
              <w:t>Navyše v dnešnej dobe architektúra riešenia a vyvinuté cloudové aplikácie IS DCOM reflektujú túto filozofiu centrálne spravovaného PC s efektívnou podporou (ITaaS) s vyššie</w:t>
            </w:r>
            <w:r>
              <w:rPr>
                <w:rFonts w:ascii="Arial" w:hAnsi="Arial" w:cs="Arial"/>
                <w:color w:val="000000"/>
                <w:sz w:val="21"/>
                <w:szCs w:val="21"/>
              </w:rPr>
              <w:t xml:space="preserve"> popísanými službami. Pokiaľ máme cieľ prinášať ITaaS a tým pádom racionalizovať prevádzku IT na obciach, toto je jediná možnosť. Preto pre využitie IS DCOM, ktorý je pre obce a mestá poskytovaný ako služba, nie je možné použiť akýkoľvek iný počítač iba št</w:t>
            </w:r>
            <w:r>
              <w:rPr>
                <w:rFonts w:ascii="Arial" w:hAnsi="Arial" w:cs="Arial"/>
                <w:color w:val="000000"/>
                <w:sz w:val="21"/>
                <w:szCs w:val="21"/>
              </w:rPr>
              <w:t>andardizovaný, vo VPN a dodávaný prostredníctvom projektu DCOM+.</w:t>
            </w:r>
          </w:p>
          <w:p w:rsidR="00000000" w:rsidRDefault="00EB04A8">
            <w:pPr>
              <w:pStyle w:val="Normlnywebov"/>
            </w:pPr>
            <w:r>
              <w:rPr>
                <w:rFonts w:ascii="Arial" w:hAnsi="Arial" w:cs="Arial"/>
                <w:color w:val="000000"/>
                <w:sz w:val="21"/>
                <w:szCs w:val="21"/>
              </w:rPr>
              <w:t>Faktor, ktorý je v kontexte rozhodovania o druhu koncového zariadenia potrebné vziať do úvahy, je aj jeho kompatibilita s technológiami, bez ktorých práca úradníka nebude možná. Jedná sa najm</w:t>
            </w:r>
            <w:r>
              <w:rPr>
                <w:rFonts w:ascii="Arial" w:hAnsi="Arial" w:cs="Arial"/>
                <w:color w:val="000000"/>
                <w:sz w:val="21"/>
                <w:szCs w:val="21"/>
              </w:rPr>
              <w:t>ä o kompatibilitu s podpisovaním elektronických dokumentov preukazom s čipovou kartou (EID) štandardne podporované štandardným osobným počítačom. Tu je počítač overeným prostriedkom a existuje pochybnosť, či terminálový tenký klient bude schopný túto funkc</w:t>
            </w:r>
            <w:r>
              <w:rPr>
                <w:rFonts w:ascii="Arial" w:hAnsi="Arial" w:cs="Arial"/>
                <w:color w:val="000000"/>
                <w:sz w:val="21"/>
                <w:szCs w:val="21"/>
              </w:rPr>
              <w:t xml:space="preserve">ionalitu plnohodnotne zabezpečiť v aktuálnej fáze jej implementácie. </w:t>
            </w:r>
          </w:p>
          <w:p w:rsidR="00000000" w:rsidRDefault="00EB04A8">
            <w:pPr>
              <w:pStyle w:val="Normlnywebov"/>
            </w:pPr>
            <w:r>
              <w:rPr>
                <w:rFonts w:ascii="Arial" w:hAnsi="Arial" w:cs="Arial"/>
                <w:color w:val="000000"/>
                <w:sz w:val="21"/>
                <w:szCs w:val="21"/>
              </w:rPr>
              <w:t xml:space="preserve"> Záverom možno konštatovať, že v súčasnej dobe a v horizonte niekoľkých rokov je jediným vhodným koncovým zariadením pre klientov systému IS DCOM moderný osobný počítač dodávaný v rámci </w:t>
            </w:r>
            <w:r>
              <w:rPr>
                <w:rFonts w:ascii="Arial" w:hAnsi="Arial" w:cs="Arial"/>
                <w:color w:val="000000"/>
                <w:sz w:val="21"/>
                <w:szCs w:val="21"/>
              </w:rPr>
              <w:t>projektu DCOM+, ktorý pripojený prostredníctvom VPN do cloudu IS DCOM.</w:t>
            </w:r>
          </w:p>
          <w:p w:rsidR="00000000" w:rsidRDefault="00EB04A8">
            <w:pPr>
              <w:pStyle w:val="Normlnywebov"/>
            </w:pPr>
            <w:r>
              <w:rPr>
                <w:rFonts w:ascii="Arial" w:hAnsi="Arial" w:cs="Arial"/>
                <w:color w:val="000000"/>
                <w:sz w:val="21"/>
                <w:szCs w:val="21"/>
              </w:rPr>
              <w:t> </w:t>
            </w:r>
          </w:p>
          <w:p w:rsidR="00000000" w:rsidRDefault="00EB04A8">
            <w:pPr>
              <w:pStyle w:val="Normlnywebov"/>
              <w:spacing w:before="0" w:beforeAutospacing="0" w:after="160" w:afterAutospacing="0"/>
              <w:jc w:val="both"/>
            </w:pPr>
            <w:r>
              <w:rPr>
                <w:rStyle w:val="Zvraznenie"/>
                <w:rFonts w:ascii="Arial" w:hAnsi="Arial" w:cs="Arial"/>
                <w:color w:val="000000"/>
                <w:sz w:val="21"/>
                <w:szCs w:val="21"/>
              </w:rPr>
              <w:t>Multifunkčné zariadenie</w:t>
            </w:r>
          </w:p>
          <w:p w:rsidR="00000000" w:rsidRDefault="00EB04A8">
            <w:pPr>
              <w:pStyle w:val="Normlnywebov"/>
            </w:pPr>
            <w:r>
              <w:rPr>
                <w:rFonts w:ascii="Arial" w:hAnsi="Arial" w:cs="Arial"/>
                <w:color w:val="000000"/>
                <w:sz w:val="21"/>
                <w:szCs w:val="21"/>
              </w:rPr>
              <w:t>Vychádzajúc zo skúseností získaných v prvej etape projektu DCOM preferujeme zariadenie, ktoré v sebe spája vysokú odolnosť voči prevádzkovému zaťaženiu, spoľah</w:t>
            </w:r>
            <w:r>
              <w:rPr>
                <w:rFonts w:ascii="Arial" w:hAnsi="Arial" w:cs="Arial"/>
                <w:color w:val="000000"/>
                <w:sz w:val="21"/>
                <w:szCs w:val="21"/>
              </w:rPr>
              <w:t xml:space="preserve">livosť a čo najnižšie prevádzkové náklady. Podľa týchto parametrov sme nastavili požiadavky, ktoré by malo spĺňať toto zariadenie. Na základe skúseností preferujeme zariadenie typu „Všetko v jednom“ schopný tlačiť dokumenty formátu A4 disponujúce sieťovým </w:t>
            </w:r>
            <w:r>
              <w:rPr>
                <w:rFonts w:ascii="Arial" w:hAnsi="Arial" w:cs="Arial"/>
                <w:color w:val="000000"/>
                <w:sz w:val="21"/>
                <w:szCs w:val="21"/>
              </w:rPr>
              <w:t>skenerom s rýchlosťou tlače minimálne 40 strán za sekundu s mesačnou záťažou minimálne 6000 strán. Požiadavkou je automatické obojstranná tlač a automatický podávač minimálne na 50 hárkov a zásobník na minimálne 500 hárkov papiera formátu A4. Dôležitou pož</w:t>
            </w:r>
            <w:r>
              <w:rPr>
                <w:rFonts w:ascii="Arial" w:hAnsi="Arial" w:cs="Arial"/>
                <w:color w:val="000000"/>
                <w:sz w:val="21"/>
                <w:szCs w:val="21"/>
              </w:rPr>
              <w:t>iadavkou je aj sieťová tlač a ľahká integrovateľnosť do lokálnej počítačovej siete obce.</w:t>
            </w:r>
          </w:p>
          <w:p w:rsidR="00000000" w:rsidRDefault="00EB04A8">
            <w:pPr>
              <w:pStyle w:val="Normlnywebov"/>
            </w:pPr>
            <w:r>
              <w:rPr>
                <w:rStyle w:val="Siln"/>
                <w:color w:val="000000"/>
                <w:sz w:val="27"/>
                <w:szCs w:val="27"/>
              </w:rPr>
              <w:t> </w:t>
            </w:r>
          </w:p>
          <w:p w:rsidR="00000000" w:rsidRDefault="00EB04A8">
            <w:pPr>
              <w:pStyle w:val="Normlnywebov"/>
              <w:spacing w:before="0" w:beforeAutospacing="0" w:after="160" w:afterAutospacing="0"/>
            </w:pPr>
            <w:r>
              <w:rPr>
                <w:rStyle w:val="Zvraznenie"/>
                <w:rFonts w:ascii="Arial" w:hAnsi="Arial" w:cs="Arial"/>
                <w:color w:val="000000"/>
                <w:sz w:val="21"/>
                <w:szCs w:val="21"/>
              </w:rPr>
              <w:t>Atramentová tlačiareň</w:t>
            </w:r>
          </w:p>
          <w:p w:rsidR="00000000" w:rsidRDefault="00EB04A8">
            <w:pPr>
              <w:pStyle w:val="Normlnywebov"/>
            </w:pPr>
            <w:r>
              <w:rPr>
                <w:rFonts w:ascii="Arial" w:hAnsi="Arial" w:cs="Arial"/>
                <w:color w:val="000000"/>
                <w:sz w:val="21"/>
                <w:szCs w:val="21"/>
              </w:rPr>
              <w:t>Požiadavka na doplnenie atramentovej tlačiarne vzišla z prostredí obcí, ktoré požadovali možnosť tlače poštových poukážok, ktoré neboli schopné</w:t>
            </w:r>
            <w:r>
              <w:rPr>
                <w:rFonts w:ascii="Arial" w:hAnsi="Arial" w:cs="Arial"/>
                <w:color w:val="000000"/>
                <w:sz w:val="21"/>
                <w:szCs w:val="21"/>
              </w:rPr>
              <w:t xml:space="preserve"> štandardné tlačiarne tlačiť bezokrajovo. Preto sa hľadala alternatíva, ktorá by umožnila vytlačiť na jednom hárku papiera formátu A4 rozhodnutie (výmer) ako aj poštovú poukážku zodpovedajúcu formátu predpísanom Slovenskou poštou a spracovateľnou zariadeni</w:t>
            </w:r>
            <w:r>
              <w:rPr>
                <w:rFonts w:ascii="Arial" w:hAnsi="Arial" w:cs="Arial"/>
                <w:color w:val="000000"/>
                <w:sz w:val="21"/>
                <w:szCs w:val="21"/>
              </w:rPr>
              <w:t>ami v jej pobočkách. Pre obec je táto služba dôležitá, nakoľko jej prostredníctvom umožňuje zaplatiť poplatky občanom, ktorí z rôznych dôvodov nevyužívajú elektronické služby. Hoci stále stúpa počet občanov využívajúcich elektronické služby, je potrebné zv</w:t>
            </w:r>
            <w:r>
              <w:rPr>
                <w:rFonts w:ascii="Arial" w:hAnsi="Arial" w:cs="Arial"/>
                <w:color w:val="000000"/>
                <w:sz w:val="21"/>
                <w:szCs w:val="21"/>
              </w:rPr>
              <w:t xml:space="preserve">yšovať efektivitu alternatívnych kanálov a prostredníctvom šeku priamo vystavenom na občana zjednodušiť výber poplatkov. </w:t>
            </w:r>
          </w:p>
          <w:p w:rsidR="00000000" w:rsidRDefault="00EB04A8">
            <w:pPr>
              <w:pStyle w:val="Normlnywebov"/>
            </w:pPr>
            <w:r>
              <w:rPr>
                <w:rFonts w:ascii="Arial" w:hAnsi="Arial" w:cs="Arial"/>
                <w:color w:val="000000"/>
                <w:sz w:val="21"/>
                <w:szCs w:val="21"/>
              </w:rPr>
              <w:t>Požiadavky na zariadenie sú vysoká odolnosť, prevádzková spoľahlivosť a </w:t>
            </w:r>
            <w:r>
              <w:rPr>
                <w:rFonts w:ascii="Arial" w:hAnsi="Arial" w:cs="Arial"/>
                <w:color w:val="000000"/>
                <w:sz w:val="21"/>
                <w:szCs w:val="21"/>
              </w:rPr>
              <w:t xml:space="preserve">nízke prevádzkové náklady a samozrejme bezokrajová farebná tlač. </w:t>
            </w:r>
          </w:p>
          <w:p w:rsidR="00000000" w:rsidRDefault="00EB04A8">
            <w:pPr>
              <w:pStyle w:val="Normlnywebov"/>
            </w:pPr>
            <w:r>
              <w:rPr>
                <w:color w:val="000000"/>
                <w:sz w:val="27"/>
                <w:szCs w:val="27"/>
              </w:rPr>
              <w:t> </w:t>
            </w:r>
          </w:p>
          <w:p w:rsidR="00000000" w:rsidRDefault="00EB04A8">
            <w:pPr>
              <w:pStyle w:val="Normlnywebov"/>
              <w:spacing w:before="0" w:beforeAutospacing="0" w:after="160" w:afterAutospacing="0"/>
            </w:pPr>
            <w:r>
              <w:rPr>
                <w:rStyle w:val="Zvraznenie"/>
                <w:rFonts w:ascii="Arial" w:hAnsi="Arial" w:cs="Arial"/>
                <w:color w:val="000000"/>
                <w:sz w:val="21"/>
                <w:szCs w:val="21"/>
              </w:rPr>
              <w:t>SECURE USB Token</w:t>
            </w:r>
          </w:p>
          <w:p w:rsidR="00000000" w:rsidRDefault="00EB04A8">
            <w:pPr>
              <w:pStyle w:val="Normlnywebov"/>
            </w:pPr>
            <w:r>
              <w:rPr>
                <w:rFonts w:ascii="Arial" w:hAnsi="Arial" w:cs="Arial"/>
                <w:color w:val="000000"/>
                <w:sz w:val="21"/>
                <w:szCs w:val="21"/>
              </w:rPr>
              <w:t>Už v prvej etape projektu DCOM sa potvrdilo, že dvojfaktorová autentifikácia založená na princípe „niečo mať a niečo vedieť“ eliminuje útoky zamerané na neoprávnený prieni</w:t>
            </w:r>
            <w:r>
              <w:rPr>
                <w:rFonts w:ascii="Arial" w:hAnsi="Arial" w:cs="Arial"/>
                <w:color w:val="000000"/>
                <w:sz w:val="21"/>
                <w:szCs w:val="21"/>
              </w:rPr>
              <w:t>k do systému. Napriek tomu, že bezpečnosť počítačov obce pripojených klasickým spôsobom ku cloudovej infraštruktúre je na najvyššej úrovni sa implementácia dvojfaktorovej  autentifikácie odporúča, najmä s výhľadom do budúcna, nakoľko výrazne eliminuje rizi</w:t>
            </w:r>
            <w:r>
              <w:rPr>
                <w:rFonts w:ascii="Arial" w:hAnsi="Arial" w:cs="Arial"/>
                <w:color w:val="000000"/>
                <w:sz w:val="21"/>
                <w:szCs w:val="21"/>
              </w:rPr>
              <w:t>ko zneužitia údajov a zjednodušuje prácu úradníkov obce.  Do budúcna sa s týmto prvkom dodatočnej autentifikácie ráta aj pri využití cloudových služieb mimo počítače dodávané prostredníctvom DCOM, čo momentálne architektúra riešenia zatiaľ ešte neumožňuje.</w:t>
            </w:r>
          </w:p>
          <w:p w:rsidR="00000000" w:rsidRDefault="00EB04A8">
            <w:pPr>
              <w:pStyle w:val="Normlnywebov"/>
            </w:pPr>
            <w:r>
              <w:rPr>
                <w:rStyle w:val="Siln"/>
                <w:color w:val="000000"/>
                <w:sz w:val="27"/>
                <w:szCs w:val="27"/>
              </w:rPr>
              <w:t> </w:t>
            </w:r>
          </w:p>
          <w:p w:rsidR="00000000" w:rsidRDefault="00EB04A8">
            <w:pPr>
              <w:pStyle w:val="Normlnywebov"/>
              <w:spacing w:before="0" w:beforeAutospacing="0" w:after="160" w:afterAutospacing="0"/>
            </w:pPr>
            <w:r>
              <w:rPr>
                <w:rStyle w:val="Zvraznenie"/>
                <w:rFonts w:ascii="Arial" w:hAnsi="Arial" w:cs="Arial"/>
                <w:color w:val="000000"/>
                <w:sz w:val="21"/>
                <w:szCs w:val="21"/>
              </w:rPr>
              <w:t>Čítačka čiarových kódov</w:t>
            </w:r>
          </w:p>
          <w:p w:rsidR="00000000" w:rsidRDefault="00EB04A8">
            <w:pPr>
              <w:pStyle w:val="Normlnywebov"/>
            </w:pPr>
            <w:r>
              <w:rPr>
                <w:rFonts w:ascii="Arial" w:hAnsi="Arial" w:cs="Arial"/>
                <w:color w:val="000000"/>
                <w:sz w:val="21"/>
                <w:szCs w:val="21"/>
              </w:rPr>
              <w:t>Toto zariadenie výrazne zjednodušuje koexistenciu elektronického a papierového sveta v kontexte projektu DCOM+. Rozhodnutia prevažne z výrubov daní a poplatkov na obci sú z IS DCOM už dnes generované s čiarovým kódom tak aby sa d</w:t>
            </w:r>
            <w:r>
              <w:rPr>
                <w:rFonts w:ascii="Arial" w:hAnsi="Arial" w:cs="Arial"/>
                <w:color w:val="000000"/>
                <w:sz w:val="21"/>
                <w:szCs w:val="21"/>
              </w:rPr>
              <w:t>ali v prípade potreby automatizovaným spôsobom spracovávať. Aktuálne sa cca 95% týchto rozhodnutí tlačí na papier, keďže občania hlavne z malých obcí nemajú aktivované elektronické schránky. Následne s týmto papierovým rozhodnutím príde občan na obec aby z</w:t>
            </w:r>
            <w:r>
              <w:rPr>
                <w:rFonts w:ascii="Arial" w:hAnsi="Arial" w:cs="Arial"/>
                <w:color w:val="000000"/>
                <w:sz w:val="21"/>
                <w:szCs w:val="21"/>
              </w:rPr>
              <w:t xml:space="preserve">aplatil daň alebo poplatok. Prostredníctvom tejto čítačky je v takom prípade možné načítať čiarový a okamžite bez zbytočného čakania identifikovať v IS DCOM aktivitu dokumentu s ním spojenú. Úradník nemusí vstupovať do vyhľadávača v registratúre a typovať </w:t>
            </w:r>
            <w:r>
              <w:rPr>
                <w:rFonts w:ascii="Arial" w:hAnsi="Arial" w:cs="Arial"/>
                <w:color w:val="000000"/>
                <w:sz w:val="21"/>
                <w:szCs w:val="21"/>
              </w:rPr>
              <w:t>identifikátor dokumentu. Po naskenovaní čiarového kódu získava automaticky prístup k agende spojenej s týmto dokumentom, čo výrazne skracuje čas potrebný na jeho spracovanie. Tým primárne skracujeme lehotu vybavenia občana ako aj šetríme čas práce úradníka</w:t>
            </w:r>
            <w:r>
              <w:rPr>
                <w:rFonts w:ascii="Arial" w:hAnsi="Arial" w:cs="Arial"/>
                <w:color w:val="000000"/>
                <w:sz w:val="21"/>
                <w:szCs w:val="21"/>
              </w:rPr>
              <w:t xml:space="preserve">. Zariadenie je schopné skenovať kódy aj z obrazovky mobilného telefónu alebo počítača, čo umožňuje spracovanie dokumentov doručených v elektronickej forme neštandardným spôsobom (mail, občanov mobil, CD, USB kľúč). </w:t>
            </w:r>
          </w:p>
          <w:p w:rsidR="00000000" w:rsidRDefault="00EB04A8">
            <w:pPr>
              <w:pStyle w:val="Normlnywebov"/>
            </w:pPr>
            <w:r>
              <w:rPr>
                <w:rStyle w:val="Siln"/>
                <w:color w:val="000000"/>
                <w:sz w:val="27"/>
                <w:szCs w:val="27"/>
              </w:rPr>
              <w:t> </w:t>
            </w:r>
          </w:p>
          <w:p w:rsidR="00000000" w:rsidRDefault="00EB04A8">
            <w:pPr>
              <w:pStyle w:val="Normlnywebov"/>
              <w:spacing w:before="0" w:beforeAutospacing="0" w:after="160" w:afterAutospacing="0"/>
            </w:pPr>
            <w:r>
              <w:rPr>
                <w:rStyle w:val="Zvraznenie"/>
                <w:rFonts w:ascii="Arial" w:hAnsi="Arial" w:cs="Arial"/>
                <w:color w:val="000000"/>
                <w:sz w:val="21"/>
                <w:szCs w:val="21"/>
              </w:rPr>
              <w:t xml:space="preserve">Zariadenia pre lokálne zálohovanie. </w:t>
            </w:r>
          </w:p>
          <w:p w:rsidR="00000000" w:rsidRDefault="00EB04A8">
            <w:pPr>
              <w:pStyle w:val="Normlnywebov"/>
            </w:pPr>
            <w:r>
              <w:rPr>
                <w:rFonts w:ascii="Arial" w:hAnsi="Arial" w:cs="Arial"/>
                <w:color w:val="000000"/>
                <w:sz w:val="21"/>
                <w:szCs w:val="21"/>
              </w:rPr>
              <w:t xml:space="preserve">Ambícia poskytovať systém DCOM ako komplexnú IT službu si vyžaduje navrhnúť technické riešenie tak, aby bola v maximálnej možnej miere naplnená. Pri návrhu optimálneho riešenia je potrebné vziať do úvahy všetky špecifiká súčasného stavu a nastaviť systémy </w:t>
            </w:r>
            <w:r>
              <w:rPr>
                <w:rFonts w:ascii="Arial" w:hAnsi="Arial" w:cs="Arial"/>
                <w:color w:val="000000"/>
                <w:sz w:val="21"/>
                <w:szCs w:val="21"/>
              </w:rPr>
              <w:t>tak, aby sa týmto špecifikám prispôsobil a vytvoril prostredie umožňujúce naplniť cieľ poskytovať systém riešenie DCOM v modeli ITaaS. Najväčšou prekážkou pri napĺňaní tohto cieľa sú v súčasnej dobe technologické obmedzenia spojené s komunikačnou infraštru</w:t>
            </w:r>
            <w:r>
              <w:rPr>
                <w:rFonts w:ascii="Arial" w:hAnsi="Arial" w:cs="Arial"/>
                <w:color w:val="000000"/>
                <w:sz w:val="21"/>
                <w:szCs w:val="21"/>
              </w:rPr>
              <w:t xml:space="preserve">ktúrou, konkrétne </w:t>
            </w:r>
            <w:r>
              <w:rPr>
                <w:rFonts w:ascii="Arial" w:hAnsi="Arial" w:cs="Arial"/>
                <w:color w:val="000000"/>
                <w:sz w:val="21"/>
                <w:szCs w:val="21"/>
                <w:u w:val="single"/>
              </w:rPr>
              <w:t>s kvalitou komunikačných internetových liniek</w:t>
            </w:r>
            <w:r>
              <w:rPr>
                <w:rFonts w:ascii="Arial" w:hAnsi="Arial" w:cs="Arial"/>
                <w:color w:val="000000"/>
                <w:sz w:val="21"/>
                <w:szCs w:val="21"/>
              </w:rPr>
              <w:t>. Hoci stále ubúdajú biele miesta a dostupnosť internetového pripojenia sa stáva samozrejmosťou, je potrebné technické riešenie navrhnúť tak, aby rešpektovalo aktuálny stav a eliminovalo negatí</w:t>
            </w:r>
            <w:r>
              <w:rPr>
                <w:rFonts w:ascii="Arial" w:hAnsi="Arial" w:cs="Arial"/>
                <w:color w:val="000000"/>
                <w:sz w:val="21"/>
                <w:szCs w:val="21"/>
              </w:rPr>
              <w:t xml:space="preserve">vny vplyv súčasných technologických obmedzení týkajúcich sa kvality pripojenia. </w:t>
            </w:r>
          </w:p>
          <w:p w:rsidR="00000000" w:rsidRDefault="00EB04A8">
            <w:pPr>
              <w:pStyle w:val="Normlnywebov"/>
            </w:pPr>
            <w:r>
              <w:rPr>
                <w:rFonts w:ascii="Arial" w:hAnsi="Arial" w:cs="Arial"/>
                <w:color w:val="000000"/>
                <w:sz w:val="21"/>
                <w:szCs w:val="21"/>
              </w:rPr>
              <w:t>Na základe skúseností s prevádzky bol identifikovaný spôsob, ako výrazne zefektívniť fungovanie obce. Typické problémy, ktoré generujú zväčšené prevádzkové náklady a spôsobujú</w:t>
            </w:r>
            <w:r>
              <w:rPr>
                <w:rFonts w:ascii="Arial" w:hAnsi="Arial" w:cs="Arial"/>
                <w:color w:val="000000"/>
                <w:sz w:val="21"/>
                <w:szCs w:val="21"/>
              </w:rPr>
              <w:t xml:space="preserve"> zložité problémy, je možné eliminovať prostredníctvom technického riešenia, ktoré zabezpečí automatizované periodické zálohovanie údajov v prostredí lokálnej počítačovej siete obce pripojenej k IS DCOM. </w:t>
            </w:r>
          </w:p>
          <w:p w:rsidR="00000000" w:rsidRDefault="00EB04A8">
            <w:pPr>
              <w:pStyle w:val="Normlnywebov"/>
            </w:pPr>
            <w:r>
              <w:rPr>
                <w:rFonts w:ascii="Arial" w:hAnsi="Arial" w:cs="Arial"/>
                <w:color w:val="000000"/>
                <w:sz w:val="21"/>
                <w:szCs w:val="21"/>
              </w:rPr>
              <w:t xml:space="preserve">Pri servisných zásahoch spojených s rekonštrukciou </w:t>
            </w:r>
            <w:r>
              <w:rPr>
                <w:rFonts w:ascii="Arial" w:hAnsi="Arial" w:cs="Arial"/>
                <w:color w:val="000000"/>
                <w:sz w:val="21"/>
                <w:szCs w:val="21"/>
              </w:rPr>
              <w:t xml:space="preserve">údajov pokazeného DCOM počítača nebolo možné po poruche uviesť počítač do pôvodného stavu. Problémom boli hlavne aplikácie tretích strán používané obcou a nimi vytvorené údaje, ktoré majú často pre obec veľký význam. </w:t>
            </w:r>
          </w:p>
          <w:p w:rsidR="00000000" w:rsidRDefault="00EB04A8">
            <w:pPr>
              <w:pStyle w:val="Normlnywebov"/>
            </w:pPr>
            <w:r>
              <w:rPr>
                <w:rFonts w:ascii="Arial" w:hAnsi="Arial" w:cs="Arial"/>
                <w:color w:val="000000"/>
                <w:sz w:val="21"/>
                <w:szCs w:val="21"/>
              </w:rPr>
              <w:t>Reakciou na tento neželaný stav je náv</w:t>
            </w:r>
            <w:r>
              <w:rPr>
                <w:rFonts w:ascii="Arial" w:hAnsi="Arial" w:cs="Arial"/>
                <w:color w:val="000000"/>
                <w:sz w:val="21"/>
                <w:szCs w:val="21"/>
              </w:rPr>
              <w:t>rh riešenia prinášajúci kvalitatívne zlepšenie pre užívateľa , ktoré sa prejavuje na strane obce v znížení rizika straty údajov ako aj nákladov spojených s inštaláciou a konfiguráciou aplikácií tretích strán a na strane servisu výrazným zvýšením efektivity</w:t>
            </w:r>
            <w:r>
              <w:rPr>
                <w:rFonts w:ascii="Arial" w:hAnsi="Arial" w:cs="Arial"/>
                <w:color w:val="000000"/>
                <w:sz w:val="21"/>
                <w:szCs w:val="21"/>
              </w:rPr>
              <w:t xml:space="preserve"> poskytovaných služieb. </w:t>
            </w:r>
          </w:p>
          <w:p w:rsidR="00000000" w:rsidRDefault="00EB04A8">
            <w:pPr>
              <w:pStyle w:val="Normlnywebov"/>
            </w:pPr>
            <w:r>
              <w:rPr>
                <w:rFonts w:ascii="Arial" w:hAnsi="Arial" w:cs="Arial"/>
                <w:color w:val="000000"/>
                <w:sz w:val="21"/>
                <w:szCs w:val="21"/>
              </w:rPr>
              <w:t>Po zvážení rôznych prístupov sa javí lokálne zálohovanie údajov ako najvhodnejším variantom. Vezmúc do úvahy jednotlivé spôsoby, ako je možné zálohovanie v prostredí obce vykonať vychádza jednoznačne ako najvhodnejší variant založe</w:t>
            </w:r>
            <w:r>
              <w:rPr>
                <w:rFonts w:ascii="Arial" w:hAnsi="Arial" w:cs="Arial"/>
                <w:color w:val="000000"/>
                <w:sz w:val="21"/>
                <w:szCs w:val="21"/>
              </w:rPr>
              <w:t>ný na využití jedného lokálneho zariadenia NAS (Nework Attached Storage) v každej pripojenej obci, kapacitne dimenzovaného podľa počtu pripojených počítačov. Technické riešenie predpokladá inštaláciu predkonfigurovaného zariadenia NAS, ktoré bude centrálne</w:t>
            </w:r>
            <w:r>
              <w:rPr>
                <w:rFonts w:ascii="Arial" w:hAnsi="Arial" w:cs="Arial"/>
                <w:color w:val="000000"/>
                <w:sz w:val="21"/>
                <w:szCs w:val="21"/>
              </w:rPr>
              <w:t xml:space="preserve"> manažovateľné. Pripojené počítače dodané v rámci systému DCOM budú prostredníctvom lokálnej siete obce pravidelne zálohovať obraz svojho pevného disku na toto zariadenie. Zároveň  budú zálohovať aj svoje dáta. Časom sa predpokladá využitie aj ďalších funk</w:t>
            </w:r>
            <w:r>
              <w:rPr>
                <w:rFonts w:ascii="Arial" w:hAnsi="Arial" w:cs="Arial"/>
                <w:color w:val="000000"/>
                <w:sz w:val="21"/>
                <w:szCs w:val="21"/>
              </w:rPr>
              <w:t>cionalít v prípade ak o ne bude mať obec záujem.</w:t>
            </w:r>
          </w:p>
          <w:p w:rsidR="00000000" w:rsidRDefault="00EB04A8">
            <w:pPr>
              <w:pStyle w:val="Normlnywebov"/>
            </w:pPr>
            <w:r>
              <w:rPr>
                <w:rFonts w:ascii="Arial" w:hAnsi="Arial" w:cs="Arial"/>
                <w:color w:val="000000"/>
                <w:sz w:val="21"/>
                <w:szCs w:val="21"/>
              </w:rPr>
              <w:t>V kontexte správneho osadenia NAS je nastavenie zálohovania tak, aby bolo možné v krátkom čase a jednoduchým spôsobom preniesť zálohu údajov uloženú na NAS do servisovaného počítača. Táto procedúra by mala b</w:t>
            </w:r>
            <w:r>
              <w:rPr>
                <w:rFonts w:ascii="Arial" w:hAnsi="Arial" w:cs="Arial"/>
                <w:color w:val="000000"/>
                <w:sz w:val="21"/>
                <w:szCs w:val="21"/>
              </w:rPr>
              <w:t xml:space="preserve">yť automatizovaná a jednoducho vykonateľná a jej výsledkom by mal byť z pohľadu užívateľa identický počítač (OS, aplikácie, údaje), ktorý si nebude vyžadovať zo strany technika dodatočnú rozsiahlu konfiguráciu, alebo pokiaľ to situácia neumožňuje bude mať </w:t>
            </w:r>
            <w:r>
              <w:rPr>
                <w:rFonts w:ascii="Arial" w:hAnsi="Arial" w:cs="Arial"/>
                <w:color w:val="000000"/>
                <w:sz w:val="21"/>
                <w:szCs w:val="21"/>
              </w:rPr>
              <w:t xml:space="preserve">k dispozícii svoje dáta o ktoré nepríde. </w:t>
            </w:r>
          </w:p>
          <w:p w:rsidR="00000000" w:rsidRDefault="00EB04A8">
            <w:pPr>
              <w:pStyle w:val="Normlnywebov"/>
            </w:pPr>
            <w:r>
              <w:rPr>
                <w:rFonts w:ascii="Arial" w:hAnsi="Arial" w:cs="Arial"/>
                <w:color w:val="000000"/>
                <w:sz w:val="21"/>
                <w:szCs w:val="21"/>
              </w:rPr>
              <w:t>Nakoľko je zariadenie NAS podobné počítaču, má operačný systém a aplikácie, ktoré je potrebné udržiavať v aktualizovanom stave, bude potrebné na strane centrálneho systému mať k dispozícii nástroje na ich centrálny</w:t>
            </w:r>
            <w:r>
              <w:rPr>
                <w:rFonts w:ascii="Arial" w:hAnsi="Arial" w:cs="Arial"/>
                <w:color w:val="000000"/>
                <w:sz w:val="21"/>
                <w:szCs w:val="21"/>
              </w:rPr>
              <w:t xml:space="preserve"> manažment prostredníctvom ktorého bude možné plošne aplikovať aktualizácie, získavať informácie o ich technickom stave a pod.</w:t>
            </w:r>
          </w:p>
          <w:p w:rsidR="00000000" w:rsidRDefault="00EB04A8">
            <w:pPr>
              <w:pStyle w:val="Normlnywebov"/>
            </w:pPr>
            <w:r>
              <w:rPr>
                <w:color w:val="000000"/>
                <w:sz w:val="27"/>
                <w:szCs w:val="27"/>
              </w:rPr>
              <w:t>V</w:t>
            </w:r>
            <w:r>
              <w:rPr>
                <w:rFonts w:ascii="Arial" w:hAnsi="Arial" w:cs="Arial"/>
                <w:color w:val="000000"/>
                <w:sz w:val="21"/>
                <w:szCs w:val="21"/>
              </w:rPr>
              <w:t>zhľadom na to, že  sa predpokladá s inštaláciou veľkého množstva obcí bude potrebné automatizovať  dohľad a manažment týchto zar</w:t>
            </w:r>
            <w:r>
              <w:rPr>
                <w:rFonts w:ascii="Arial" w:hAnsi="Arial" w:cs="Arial"/>
                <w:color w:val="000000"/>
                <w:sz w:val="21"/>
                <w:szCs w:val="21"/>
              </w:rPr>
              <w:t>iadení. Rovnako bude potrebné zvoliť parametre zariadenia pre malú a väčšiu obec tak, aby bolo schopné obslúžiť počet počítačov typicky využívaný obcou (Zariadenie pre lokálne zálohovanie Typ 1 a 2).</w:t>
            </w:r>
          </w:p>
          <w:p w:rsidR="00000000" w:rsidRDefault="00EB04A8">
            <w:pPr>
              <w:pStyle w:val="Normlnywebov"/>
            </w:pPr>
            <w:r>
              <w:rPr>
                <w:color w:val="000000"/>
                <w:sz w:val="27"/>
                <w:szCs w:val="27"/>
              </w:rPr>
              <w:t> </w:t>
            </w:r>
          </w:p>
          <w:p w:rsidR="00000000" w:rsidRDefault="00EB04A8">
            <w:pPr>
              <w:pStyle w:val="Normlnywebov"/>
              <w:spacing w:before="0" w:beforeAutospacing="0" w:after="160" w:afterAutospacing="0"/>
            </w:pPr>
            <w:r>
              <w:rPr>
                <w:rStyle w:val="Zvraznenie"/>
                <w:rFonts w:ascii="Arial" w:hAnsi="Arial" w:cs="Arial"/>
                <w:color w:val="000000"/>
                <w:sz w:val="21"/>
                <w:szCs w:val="21"/>
              </w:rPr>
              <w:t>Router do Finnet4</w:t>
            </w:r>
          </w:p>
          <w:p w:rsidR="00000000" w:rsidRDefault="00EB04A8">
            <w:pPr>
              <w:pStyle w:val="Normlnywebov"/>
            </w:pPr>
            <w:r>
              <w:rPr>
                <w:rFonts w:ascii="Arial" w:hAnsi="Arial" w:cs="Arial"/>
                <w:color w:val="000000"/>
                <w:sz w:val="21"/>
                <w:szCs w:val="21"/>
              </w:rPr>
              <w:t>Router do siete Finnet4 umožňuje vyt</w:t>
            </w:r>
            <w:r>
              <w:rPr>
                <w:rFonts w:ascii="Arial" w:hAnsi="Arial" w:cs="Arial"/>
                <w:color w:val="000000"/>
                <w:sz w:val="21"/>
                <w:szCs w:val="21"/>
              </w:rPr>
              <w:t>vorenie záložného pripojenia do existujúcej siete Finnet4, prostredníctvom ktorej obce komunikujú ekonomické údaje v kontexte systému RISSAM. Obce sa môžu prostredníctvom tejto siete pripojiť k systému DCOM v cloude, avšak týmto pripojením nezískajú konekt</w:t>
            </w:r>
            <w:r>
              <w:rPr>
                <w:rFonts w:ascii="Arial" w:hAnsi="Arial" w:cs="Arial"/>
                <w:color w:val="000000"/>
                <w:sz w:val="21"/>
                <w:szCs w:val="21"/>
              </w:rPr>
              <w:t>ivitu do internetu. Toto záložné pripojenie umožní obci plnohodnotnú prácu v IS DCOM v prípade výpadku primárneho internetového pripojenia. Obci v súvislosti s pripojením k tomuto systému nevznikajú žiadne náklady a môžu ju využívať aj na komunikáciu s iný</w:t>
            </w:r>
            <w:r>
              <w:rPr>
                <w:rFonts w:ascii="Arial" w:hAnsi="Arial" w:cs="Arial"/>
                <w:color w:val="000000"/>
                <w:sz w:val="21"/>
                <w:szCs w:val="21"/>
              </w:rPr>
              <w:t>mi ISVS (RISSAM). Router je do budúcnosti použiteľný aj na akékoľvek iné typy sieti, ktoré by boli na obci k dispozícii ako záložné riešenie primárneho internetu.</w:t>
            </w:r>
            <w:r>
              <w:t> </w:t>
            </w:r>
          </w:p>
          <w:p w:rsidR="00000000" w:rsidRDefault="00EB04A8">
            <w:pPr>
              <w:pStyle w:val="Normlnywebov"/>
            </w:pPr>
            <w:r>
              <w:t> </w:t>
            </w:r>
          </w:p>
          <w:p w:rsidR="00000000" w:rsidRDefault="00EB04A8">
            <w:pPr>
              <w:pStyle w:val="Normlnywebov"/>
            </w:pPr>
            <w:r>
              <w:rPr>
                <w:rStyle w:val="Siln"/>
              </w:rPr>
              <w:t>Stanovenie počtu koncových zariadení</w:t>
            </w:r>
          </w:p>
          <w:p w:rsidR="00000000" w:rsidRDefault="00EB04A8">
            <w:pPr>
              <w:pStyle w:val="Normlnywebov"/>
            </w:pPr>
            <w:r>
              <w:t>Pri stanovení počtu jednotlivých komponentov sme vych</w:t>
            </w:r>
            <w:r>
              <w:t>ádzali z predpokladu zapojiť 1073 obcí resp. 7005 zamestnancov a rozšíriť novo identifikované koncové zariadenia zefektívňujúce prácu úradníkov na všetky zapojené obce vrátane obcí zapojených v prvej etape projektu DCOM. Jedná sa o nový hardvér, ktorý nebo</w:t>
            </w:r>
            <w:r>
              <w:t>l dodávaný ani v pôvodnom projekte DCOM viď detailný popis v predchádzajúcej kapitole:</w:t>
            </w:r>
          </w:p>
          <w:p w:rsidR="00000000" w:rsidRDefault="00EB04A8">
            <w:pPr>
              <w:numPr>
                <w:ilvl w:val="0"/>
                <w:numId w:val="18"/>
              </w:numPr>
              <w:spacing w:before="100" w:beforeAutospacing="1" w:after="100" w:afterAutospacing="1"/>
              <w:rPr>
                <w:rFonts w:eastAsia="Times New Roman"/>
              </w:rPr>
            </w:pPr>
            <w:r>
              <w:rPr>
                <w:rFonts w:eastAsia="Times New Roman"/>
              </w:rPr>
              <w:t>Atramentová tlačiareň pre bezokrajovú tlač štítkov</w:t>
            </w:r>
          </w:p>
          <w:p w:rsidR="00000000" w:rsidRDefault="00EB04A8">
            <w:pPr>
              <w:numPr>
                <w:ilvl w:val="0"/>
                <w:numId w:val="18"/>
              </w:numPr>
              <w:spacing w:before="100" w:beforeAutospacing="1" w:after="100" w:afterAutospacing="1"/>
              <w:rPr>
                <w:rFonts w:eastAsia="Times New Roman"/>
              </w:rPr>
            </w:pPr>
            <w:r>
              <w:rPr>
                <w:rFonts w:eastAsia="Times New Roman"/>
              </w:rPr>
              <w:t>Secure USB Token</w:t>
            </w:r>
          </w:p>
          <w:p w:rsidR="00000000" w:rsidRDefault="00EB04A8">
            <w:pPr>
              <w:numPr>
                <w:ilvl w:val="0"/>
                <w:numId w:val="18"/>
              </w:numPr>
              <w:spacing w:before="100" w:beforeAutospacing="1" w:after="100" w:afterAutospacing="1"/>
              <w:rPr>
                <w:rFonts w:eastAsia="Times New Roman"/>
              </w:rPr>
            </w:pPr>
            <w:r>
              <w:rPr>
                <w:rFonts w:eastAsia="Times New Roman"/>
              </w:rPr>
              <w:t>Čítačka na čiarové kódy</w:t>
            </w:r>
          </w:p>
          <w:p w:rsidR="00000000" w:rsidRDefault="00EB04A8">
            <w:pPr>
              <w:numPr>
                <w:ilvl w:val="0"/>
                <w:numId w:val="18"/>
              </w:numPr>
              <w:spacing w:before="100" w:beforeAutospacing="1" w:after="100" w:afterAutospacing="1"/>
              <w:rPr>
                <w:rFonts w:eastAsia="Times New Roman"/>
              </w:rPr>
            </w:pPr>
            <w:r>
              <w:rPr>
                <w:rFonts w:eastAsia="Times New Roman"/>
              </w:rPr>
              <w:t>Zariadenie pre lokálne zálohovanie</w:t>
            </w:r>
          </w:p>
          <w:p w:rsidR="00000000" w:rsidRDefault="00EB04A8">
            <w:pPr>
              <w:pStyle w:val="Normlnywebov"/>
            </w:pPr>
            <w:r>
              <w:t xml:space="preserve">Tieto zariadenia plánujeme </w:t>
            </w:r>
            <w:r>
              <w:t>doplniť na všetky obce aj tie už zapojené v pôvodnom projekte DCOM. Napĺňame tým strategický cieľ samosprávy poskytovať obciam ITaaS a zároveň im vytvárame možnosť čo najefektívnejšieho fungovania počas postupného nábehu elektronizácie v najbližších rokoch</w:t>
            </w:r>
            <w:r>
              <w:t>.</w:t>
            </w:r>
          </w:p>
          <w:p w:rsidR="00000000" w:rsidRDefault="00EB04A8">
            <w:pPr>
              <w:pStyle w:val="Normlnywebov"/>
            </w:pPr>
            <w:r>
              <w:t>Pomer PC/Notebookov je odhadnutý na základe distribúcie pri projekte DCOM s prihliadnutím na posuv rozšírenia na iné segmenty obcí a miest a SOcÚ.  Uvažovaných 110 novo pripojených SOcÚ predstavuje približne 770 úradníkov v špecializovaných agendách pren</w:t>
            </w:r>
            <w:r>
              <w:t>esených kompetencií. Pre ich prístup k IS DCOM+ sa uvažuje s kombinovaným prístupom vlastného PC, resp. notebooku „domovského“ úradu (s použitím doplnkového tokenu pre druhý faktor autorizácie), a/alebo projektom DCOM+ dodávaného notebooku, s prihliadnutím</w:t>
            </w:r>
            <w:r>
              <w:t xml:space="preserve"> na terénnu prácu úradníkov. Vzhľadom na postavenie samosprávy nie je možné ani zaručiť, že bude zapojený predpokladaný počet obcí a miest.</w:t>
            </w:r>
          </w:p>
          <w:p w:rsidR="00000000" w:rsidRDefault="00EB04A8">
            <w:pPr>
              <w:pStyle w:val="Normlnywebov"/>
            </w:pPr>
            <w:r>
              <w:t>Pri rozdielnej veľkosti a vybavení obcí je potrebné uvažovať s nepresnosťou odhadu koeficientu pomeru počtu zamestna</w:t>
            </w:r>
            <w:r>
              <w:t>ncov obce. Rovnako nie je možné vopred stanoviť presný pomer PC/NB. Predpokladáme na každú obec dodávku jednej veľkokapacitnej tlačiarne, ktorá má nízke prevádzkové náklady a vyššiu prevádzkovú spoľahlivosť a dodávku jednej atramentovej tlačiarne s nízkymi</w:t>
            </w:r>
            <w:r>
              <w:t xml:space="preserve"> prevádzkovými nákladmi, schopnej zabezpečiť tlač štítkov a obálok.  Čerpanie technologických prostriedkov musí byť preto možné ad-hoc podľa aktuálnej potreby. Nerovnomerné čerpanie technických prostriedkov v jednotlivých mesiacoch vyžaduje odpovedajúci ty</w:t>
            </w:r>
            <w:r>
              <w:t>p zmluvy s dodávateľom (fakultatívne plnenie podľa výberu z katalógu), pričom maximálne predpokladané počty sa stanú základom Rámcovej zmluvy. Návrh špecifikácie a počtu zariadení zohľadňuje skúsenosti z plošného rozšírenia projektu IS DCOM.</w:t>
            </w:r>
          </w:p>
          <w:p w:rsidR="00000000" w:rsidRDefault="00EB04A8">
            <w:pPr>
              <w:pStyle w:val="Normlnywebov"/>
            </w:pPr>
            <w:r>
              <w:rPr>
                <w:rFonts w:ascii="Arial" w:hAnsi="Arial" w:cs="Arial"/>
                <w:color w:val="000000"/>
                <w:sz w:val="21"/>
                <w:szCs w:val="21"/>
              </w:rPr>
              <w:t xml:space="preserve">Pri stanovení </w:t>
            </w:r>
            <w:r>
              <w:rPr>
                <w:rFonts w:ascii="Arial" w:hAnsi="Arial" w:cs="Arial"/>
                <w:color w:val="000000"/>
                <w:sz w:val="21"/>
                <w:szCs w:val="21"/>
              </w:rPr>
              <w:t>cieľového počtu obcí do projektu DCOM+ predpokladáme takmer 100% účasť obcí, ktoré sú aktuálne zapojené v minimálnom režime (miniDCOM+). U ostatných obcí odhadujeme, že časť z nich bude mať záujem pripojiť sa do projektu DCOM+ a časť si bude hľadať samosta</w:t>
            </w:r>
            <w:r>
              <w:rPr>
                <w:rFonts w:ascii="Arial" w:hAnsi="Arial" w:cs="Arial"/>
                <w:color w:val="000000"/>
                <w:sz w:val="21"/>
                <w:szCs w:val="21"/>
              </w:rPr>
              <w:t>tné riešenie mimo DCOM. Tiež predpokladáme, že predovšetkým malé obce (podľa počtu obyvateľov) sa rozhodnú využiť možnosť pripojiť sa do projektu DCOM, pretože ich rozpočet im neumožňuje financovať samostatné IT pre poskytovanie elektronických služieb eGov</w:t>
            </w:r>
            <w:r>
              <w:rPr>
                <w:rFonts w:ascii="Arial" w:hAnsi="Arial" w:cs="Arial"/>
                <w:color w:val="000000"/>
                <w:sz w:val="21"/>
                <w:szCs w:val="21"/>
              </w:rPr>
              <w:t>ernmentu</w:t>
            </w:r>
          </w:p>
          <w:p w:rsidR="00000000" w:rsidRDefault="00EB04A8">
            <w:pPr>
              <w:pStyle w:val="Normlnywebov"/>
            </w:pPr>
            <w:r>
              <w:rPr>
                <w:rFonts w:ascii="Arial" w:hAnsi="Arial" w:cs="Arial"/>
                <w:color w:val="000000"/>
                <w:sz w:val="21"/>
                <w:szCs w:val="21"/>
              </w:rPr>
              <w:t>Na základe informácií o počte obcí a miest a ich obyvateľov získaných zo Štatistického úradu sme stanovili počet obcí patriacich do jednotlivých nami definovaných veľkostných kategórií podľa počtu obyvateľov. Vychádzajúc zo skúsenosti z </w:t>
            </w:r>
            <w:r>
              <w:rPr>
                <w:rFonts w:ascii="Arial" w:hAnsi="Arial" w:cs="Arial"/>
                <w:color w:val="000000"/>
                <w:sz w:val="21"/>
                <w:szCs w:val="21"/>
              </w:rPr>
              <w:t>implementácie IS DCOM sme pre každú veľkostnú kategóriu obcí nastavili počet úradníkov a nazvali ho tzv. distribučná krivka, na základe ktorej bola realizovaná distribúcia výpočtovej techniky.</w:t>
            </w:r>
          </w:p>
          <w:p w:rsidR="00000000" w:rsidRDefault="00EB04A8">
            <w:pPr>
              <w:pStyle w:val="Normlnywebov"/>
            </w:pPr>
            <w:r>
              <w:rPr>
                <w:rFonts w:ascii="Arial" w:hAnsi="Arial" w:cs="Arial"/>
                <w:color w:val="000000"/>
                <w:sz w:val="21"/>
                <w:szCs w:val="21"/>
              </w:rPr>
              <w:t>V plošnom rozšírení PC na obce je to dôležitý kontrolný mechani</w:t>
            </w:r>
            <w:r>
              <w:rPr>
                <w:rFonts w:ascii="Arial" w:hAnsi="Arial" w:cs="Arial"/>
                <w:color w:val="000000"/>
                <w:sz w:val="21"/>
                <w:szCs w:val="21"/>
              </w:rPr>
              <w:t>zmus, ktorý zohľadňuje potrebu miest a obcí vo vymedzenom veľkostnom segmente (počet úradníkov, počet PC, počet tlačiarní a pod.) Zmyslom kontrolného mechanizmu je zabezpečiť efektívnu a hospodárnu distribúciu HW a SW techniky na obciach vrátane služieb, k</w:t>
            </w:r>
            <w:r>
              <w:rPr>
                <w:rFonts w:ascii="Arial" w:hAnsi="Arial" w:cs="Arial"/>
                <w:color w:val="000000"/>
                <w:sz w:val="21"/>
                <w:szCs w:val="21"/>
              </w:rPr>
              <w:t>toré na ne nadväzujú.</w:t>
            </w:r>
          </w:p>
          <w:p w:rsidR="00000000" w:rsidRDefault="00EB04A8">
            <w:pPr>
              <w:pStyle w:val="Normlnywebov"/>
            </w:pPr>
            <w:r>
              <w:rPr>
                <w:rFonts w:ascii="Arial" w:hAnsi="Arial" w:cs="Arial"/>
                <w:color w:val="000000"/>
                <w:sz w:val="21"/>
                <w:szCs w:val="21"/>
              </w:rPr>
              <w:t>V pôvodnom projekte DCOM rozdeleniu a rozvozu HW na obciach predchádzalo detailné zistenie potreby výpočtovej techniky. Obciam, ktoré prejavili záujem o vstup do projektu bol zaslaný dotazník, ktorého cieľom bolo zistiť základné infor</w:t>
            </w:r>
            <w:r>
              <w:rPr>
                <w:rFonts w:ascii="Arial" w:hAnsi="Arial" w:cs="Arial"/>
                <w:color w:val="000000"/>
                <w:sz w:val="21"/>
                <w:szCs w:val="21"/>
              </w:rPr>
              <w:t>mácie o vybavení úradu, ako napríklad technické vybavenie obce, internetové pripojenie, programové vybavenie, dodávatelia informačných systémov obce, kontaktné osoby, počet zamestnancov, podriadené organizácie a pod. Na základe tejto analýzy bola obec násl</w:t>
            </w:r>
            <w:r>
              <w:rPr>
                <w:rFonts w:ascii="Arial" w:hAnsi="Arial" w:cs="Arial"/>
                <w:color w:val="000000"/>
                <w:sz w:val="21"/>
                <w:szCs w:val="21"/>
              </w:rPr>
              <w:t>edne kontaktovaná prostredníctvom CallCentra, kvôli overeniu potreby vybavenia úradu, na ktorú sme sa v dotazníku taktiež pýtali. Takáto analýza obce formou dotazníka tesne pred vstupom do projektu sa osvedčila ako najefektívnejšia, a bola v nej zohľadnená</w:t>
            </w:r>
            <w:r>
              <w:rPr>
                <w:rFonts w:ascii="Arial" w:hAnsi="Arial" w:cs="Arial"/>
                <w:color w:val="000000"/>
                <w:sz w:val="21"/>
                <w:szCs w:val="21"/>
              </w:rPr>
              <w:t xml:space="preserve"> aktuálna potreba konkrétnej obce v reálnom čase. Vyššie nároky ako distribučná krivka boli posudzované osobitne na prevádzkovom výbore projektu. V prípade väčších miest nad 5 000 obyvateľov sa pred vstupom do projektu realizuje osobitná vstupná analýza pr</w:t>
            </w:r>
            <w:r>
              <w:rPr>
                <w:rFonts w:ascii="Arial" w:hAnsi="Arial" w:cs="Arial"/>
                <w:color w:val="000000"/>
                <w:sz w:val="21"/>
                <w:szCs w:val="21"/>
              </w:rPr>
              <w:t>ostredia väčších obcí a miest, vrátane návrhu riešenia zapojenia do projektu DCOM. Tieto kroky zabezpečili, aby sa na obce nedostávalo viacej techniky, ako bola nevyhnutná potreba. Vstup do projektu je dobrovoľný. Obce, ktoré disponovali výpočtovou technik</w:t>
            </w:r>
            <w:r>
              <w:rPr>
                <w:rFonts w:ascii="Arial" w:hAnsi="Arial" w:cs="Arial"/>
                <w:color w:val="000000"/>
                <w:sz w:val="21"/>
                <w:szCs w:val="21"/>
              </w:rPr>
              <w:t>ou nevstupovali do projektu.</w:t>
            </w:r>
          </w:p>
          <w:p w:rsidR="00000000" w:rsidRDefault="00EB04A8">
            <w:pPr>
              <w:pStyle w:val="Normlnywebov"/>
            </w:pPr>
            <w:r>
              <w:rPr>
                <w:rFonts w:ascii="Arial" w:hAnsi="Arial" w:cs="Arial"/>
                <w:color w:val="000000"/>
                <w:sz w:val="21"/>
                <w:szCs w:val="21"/>
              </w:rPr>
              <w:t>Ďalším automatickým kontrolným mechanizmom je finančný aspekt prevádzky. V prípade, ak obce majú vlastný HW, tak len kvôli PC nevstupujú do projektu, keďže vďaka spoplatneniu prevádzky by to pre tieto obce znamenalo dvojitý výd</w:t>
            </w:r>
            <w:r>
              <w:rPr>
                <w:rFonts w:ascii="Arial" w:hAnsi="Arial" w:cs="Arial"/>
                <w:color w:val="000000"/>
                <w:sz w:val="21"/>
                <w:szCs w:val="21"/>
              </w:rPr>
              <w:t>avok (nákup vlastných PC a platenie prevádzky).</w:t>
            </w:r>
          </w:p>
          <w:p w:rsidR="00000000" w:rsidRDefault="00EB04A8">
            <w:pPr>
              <w:pStyle w:val="Normlnywebov"/>
            </w:pPr>
            <w:r>
              <w:rPr>
                <w:rFonts w:ascii="Arial" w:hAnsi="Arial" w:cs="Arial"/>
                <w:color w:val="000000"/>
                <w:sz w:val="21"/>
                <w:szCs w:val="21"/>
              </w:rPr>
              <w:t>Tento postup a proces prebehol u všetkých 1 511 obcí ktoré boli zapojené do pôvodného projektu a budeme ho identicky aplikovať aj pri plošnom rozšírení DCOM+. Máme za to, že uvádzané detailné zistenie potreby</w:t>
            </w:r>
            <w:r>
              <w:rPr>
                <w:rFonts w:ascii="Arial" w:hAnsi="Arial" w:cs="Arial"/>
                <w:color w:val="000000"/>
                <w:sz w:val="21"/>
                <w:szCs w:val="21"/>
              </w:rPr>
              <w:t xml:space="preserve"> výpočtovej techniky a osvedčené a efektívne kontrolné mechanizmy s referenciou 1 511 obcí a niekoľkoročnými skúsenosťami, sú dostatočné, a preto ich budeme realizovať aj pri tomto projekte.</w:t>
            </w:r>
          </w:p>
          <w:p w:rsidR="00000000" w:rsidRDefault="00EB04A8">
            <w:pPr>
              <w:pStyle w:val="Normlnywebov"/>
            </w:pPr>
            <w:r>
              <w:rPr>
                <w:rFonts w:ascii="Arial" w:hAnsi="Arial" w:cs="Arial"/>
                <w:color w:val="000000"/>
                <w:sz w:val="21"/>
                <w:szCs w:val="21"/>
              </w:rPr>
              <w:t>Akýkoľvek prieskum, či analýza pred projektom nad rámec týchto ko</w:t>
            </w:r>
            <w:r>
              <w:rPr>
                <w:rFonts w:ascii="Arial" w:hAnsi="Arial" w:cs="Arial"/>
                <w:color w:val="000000"/>
                <w:sz w:val="21"/>
                <w:szCs w:val="21"/>
              </w:rPr>
              <w:t>ntrolných mechanizmov by:</w:t>
            </w:r>
          </w:p>
          <w:p w:rsidR="00000000" w:rsidRDefault="00EB04A8">
            <w:pPr>
              <w:pStyle w:val="Normlnywebov"/>
            </w:pPr>
            <w:r>
              <w:rPr>
                <w:rFonts w:ascii="Arial" w:hAnsi="Arial" w:cs="Arial"/>
                <w:color w:val="000000"/>
                <w:sz w:val="21"/>
                <w:szCs w:val="21"/>
              </w:rPr>
              <w:t>a)     nereflektoval na konkrétnu množinu obcí, ktoré napokon vstúpia do projektu,</w:t>
            </w:r>
          </w:p>
          <w:p w:rsidR="00000000" w:rsidRDefault="00EB04A8">
            <w:pPr>
              <w:pStyle w:val="Normlnywebov"/>
            </w:pPr>
            <w:r>
              <w:rPr>
                <w:rFonts w:ascii="Arial" w:hAnsi="Arial" w:cs="Arial"/>
                <w:color w:val="000000"/>
                <w:sz w:val="21"/>
                <w:szCs w:val="21"/>
              </w:rPr>
              <w:t>b)     nebol realizovaný v tak veľkom rozsahu ako 1 511 obcí a miest,</w:t>
            </w:r>
          </w:p>
          <w:p w:rsidR="00000000" w:rsidRDefault="00EB04A8">
            <w:pPr>
              <w:pStyle w:val="Normlnywebov"/>
            </w:pPr>
            <w:r>
              <w:rPr>
                <w:rFonts w:ascii="Arial" w:hAnsi="Arial" w:cs="Arial"/>
                <w:color w:val="000000"/>
                <w:sz w:val="21"/>
                <w:szCs w:val="21"/>
              </w:rPr>
              <w:t>c)     nereflektoval na vybavenie obcí v reálnom čase pri vstupe do projektu,</w:t>
            </w:r>
          </w:p>
          <w:p w:rsidR="00000000" w:rsidRDefault="00EB04A8">
            <w:pPr>
              <w:pStyle w:val="Normlnywebov"/>
            </w:pPr>
            <w:r>
              <w:rPr>
                <w:rFonts w:ascii="Arial" w:hAnsi="Arial" w:cs="Arial"/>
                <w:color w:val="000000"/>
                <w:sz w:val="21"/>
                <w:szCs w:val="21"/>
              </w:rPr>
              <w:t>d)     predstavoval značné finančné prostriedky vynaložené na tento prieskum a zároveň by boli vynaložené nehospodárne.</w:t>
            </w:r>
          </w:p>
          <w:p w:rsidR="00000000" w:rsidRDefault="00EB04A8">
            <w:pPr>
              <w:pStyle w:val="Normlnywebov"/>
            </w:pPr>
            <w:r>
              <w:rPr>
                <w:rFonts w:ascii="Arial" w:hAnsi="Arial" w:cs="Arial"/>
                <w:color w:val="000000"/>
                <w:sz w:val="21"/>
                <w:szCs w:val="21"/>
              </w:rPr>
              <w:t>Pri plošnom rozšírení DCOM+ ideme v najvýznamnejšej miere do segmentu menších obcí, u ktorých potrebu HW potvrdzuje aj Najvyšší kontrol</w:t>
            </w:r>
            <w:r>
              <w:rPr>
                <w:rFonts w:ascii="Arial" w:hAnsi="Arial" w:cs="Arial"/>
                <w:color w:val="000000"/>
                <w:sz w:val="21"/>
                <w:szCs w:val="21"/>
              </w:rPr>
              <w:t>ný úrad SR. Jedným zo zistení kontroly NKÚ SR, ktorá prebehla na prelome rokov 2016/2017 v samospráve bolo, že najmä v malých obciach nedochádzalo k prirodzenej reprodukcii hardvéru, hlavne z dôvodu obmedzených rozpočtových zdrojov. Zariadenia boli funkčné</w:t>
            </w:r>
            <w:r>
              <w:rPr>
                <w:rFonts w:ascii="Arial" w:hAnsi="Arial" w:cs="Arial"/>
                <w:color w:val="000000"/>
                <w:sz w:val="21"/>
                <w:szCs w:val="21"/>
              </w:rPr>
              <w:t>, ale technicky zaostalé a v niektorých prípadoch aj viac ako pätnásť rokov staré. Ako jeden z prínosov projektu DCOM NKÚ SR uviedol, že v obciach využívajúcich IS DCOM je zjavný kvalitatívny posun v oblasti poskytovania elektronických služieb a dochádza k</w:t>
            </w:r>
            <w:r>
              <w:rPr>
                <w:rFonts w:ascii="Arial" w:hAnsi="Arial" w:cs="Arial"/>
                <w:color w:val="000000"/>
                <w:sz w:val="21"/>
                <w:szCs w:val="21"/>
              </w:rPr>
              <w:t> významnej reprodukcii výpočtovej techniky.</w:t>
            </w:r>
          </w:p>
          <w:p w:rsidR="00000000" w:rsidRDefault="00EB04A8">
            <w:pPr>
              <w:pStyle w:val="Normlnywebov"/>
            </w:pPr>
            <w:r>
              <w:rPr>
                <w:rFonts w:ascii="Arial" w:hAnsi="Arial" w:cs="Arial"/>
                <w:color w:val="000000"/>
                <w:sz w:val="21"/>
                <w:szCs w:val="21"/>
              </w:rPr>
              <w:t>Obrázok 15 Počet obcí, úradníkov a obyvateľov </w:t>
            </w:r>
          </w:p>
          <w:p w:rsidR="00000000" w:rsidRDefault="00EB04A8">
            <w:pPr>
              <w:pStyle w:val="Normlnywebov"/>
            </w:pPr>
            <w:r>
              <w:rPr>
                <w:noProof/>
              </w:rPr>
              <w:drawing>
                <wp:inline distT="0" distB="0" distL="0" distR="0">
                  <wp:extent cx="4457700" cy="2286000"/>
                  <wp:effectExtent l="0" t="0" r="0" b="0"/>
                  <wp:docPr id="16" name="Obrázok 16" descr="C:\00e37fb66f96e6d823a20dff30cd28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00e37fb66f96e6d823a20dff30cd28c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57700" cy="2286000"/>
                          </a:xfrm>
                          <a:prstGeom prst="rect">
                            <a:avLst/>
                          </a:prstGeom>
                          <a:noFill/>
                          <a:ln>
                            <a:noFill/>
                          </a:ln>
                        </pic:spPr>
                      </pic:pic>
                    </a:graphicData>
                  </a:graphic>
                </wp:inline>
              </w:drawing>
            </w:r>
          </w:p>
          <w:p w:rsidR="00000000" w:rsidRDefault="00EB04A8">
            <w:pPr>
              <w:pStyle w:val="Normlnywebov"/>
            </w:pPr>
            <w:r>
              <w:rPr>
                <w:rFonts w:ascii="Arial" w:hAnsi="Arial" w:cs="Arial"/>
                <w:color w:val="000000"/>
                <w:sz w:val="21"/>
                <w:szCs w:val="21"/>
              </w:rPr>
              <w:t>Percento zapojen</w:t>
            </w:r>
            <w:r>
              <w:rPr>
                <w:rFonts w:ascii="Arial" w:hAnsi="Arial" w:cs="Arial"/>
                <w:color w:val="000000"/>
                <w:sz w:val="21"/>
                <w:szCs w:val="21"/>
              </w:rPr>
              <w:t>ia (C) sme pre každú veľkostnú kategóriu určili kvalifikovaným odhadom, ktorý je pri menších obciach väčšie. Počet obcí, ktoré plánujeme pripojiť sa tak vyrátava ako súčet všetkých obcí z miniDCOM+ a prislúchajúceho počtu obcí zo zvyšného potenciálu. Takým</w:t>
            </w:r>
            <w:r>
              <w:rPr>
                <w:rFonts w:ascii="Arial" w:hAnsi="Arial" w:cs="Arial"/>
                <w:color w:val="000000"/>
                <w:sz w:val="21"/>
                <w:szCs w:val="21"/>
              </w:rPr>
              <w:t>to spôsobom sme stanovili plánovaný počet obcí na 1073 a zo stanoveného počtu úradníkov celkový počet úradníkov 6235. Do projektu plánujeme pripojiť aj 770 úradníkov pracujúcich na 110 Spoločných obecných úradoch, kde zase zo skúseností predpokladáme v pri</w:t>
            </w:r>
            <w:r>
              <w:rPr>
                <w:rFonts w:ascii="Arial" w:hAnsi="Arial" w:cs="Arial"/>
                <w:color w:val="000000"/>
                <w:sz w:val="21"/>
                <w:szCs w:val="21"/>
              </w:rPr>
              <w:t>emere so siedmimi úradníkmi na jedno SOcÚ. Celkový počet zapojených úradníkov je 7005 čo predstavuje aj celkový počet počítačov potrebných pre projekt.</w:t>
            </w:r>
          </w:p>
          <w:p w:rsidR="00000000" w:rsidRDefault="00EB04A8">
            <w:pPr>
              <w:pStyle w:val="Normlnywebov"/>
            </w:pPr>
            <w:r>
              <w:rPr>
                <w:rFonts w:ascii="Arial" w:hAnsi="Arial" w:cs="Arial"/>
                <w:color w:val="000000"/>
                <w:sz w:val="21"/>
                <w:szCs w:val="21"/>
              </w:rPr>
              <w:t>Vychádzajúc z týchto čísiel popíšeme v nasledujúcom zhrnutí stanovenie potrebných množstiev hardvéru a s</w:t>
            </w:r>
            <w:r>
              <w:rPr>
                <w:rFonts w:ascii="Arial" w:hAnsi="Arial" w:cs="Arial"/>
                <w:color w:val="000000"/>
                <w:sz w:val="21"/>
                <w:szCs w:val="21"/>
              </w:rPr>
              <w:t>oftvéru.</w:t>
            </w:r>
          </w:p>
          <w:p w:rsidR="00000000" w:rsidRDefault="00EB04A8">
            <w:pPr>
              <w:pStyle w:val="Normlnywebov"/>
            </w:pPr>
            <w:r>
              <w:rPr>
                <w:color w:val="000000"/>
                <w:sz w:val="27"/>
                <w:szCs w:val="27"/>
              </w:rPr>
              <w:t> </w:t>
            </w:r>
            <w:r>
              <w:rPr>
                <w:rStyle w:val="Zvraznenie"/>
                <w:rFonts w:ascii="Arial" w:hAnsi="Arial" w:cs="Arial"/>
                <w:color w:val="000000"/>
                <w:sz w:val="21"/>
                <w:szCs w:val="21"/>
              </w:rPr>
              <w:t>Notebooky a desktopy</w:t>
            </w:r>
          </w:p>
          <w:p w:rsidR="00000000" w:rsidRDefault="00EB04A8">
            <w:pPr>
              <w:pStyle w:val="Normlnywebov"/>
            </w:pPr>
            <w:r>
              <w:rPr>
                <w:rFonts w:ascii="Arial" w:hAnsi="Arial" w:cs="Arial"/>
                <w:color w:val="000000"/>
                <w:sz w:val="21"/>
                <w:szCs w:val="21"/>
              </w:rPr>
              <w:t xml:space="preserve">Vychádzame z predpokladaného počtu 7005 počítačov z toho 4005 počítačov a 3000 notebookov, ktorými plánujeme vybaviť 6235 úradníkov na 1073 obciach a 770 úradníkov na 110 SOcÚ. </w:t>
            </w:r>
          </w:p>
          <w:p w:rsidR="00000000" w:rsidRDefault="00EB04A8">
            <w:pPr>
              <w:numPr>
                <w:ilvl w:val="0"/>
                <w:numId w:val="19"/>
              </w:numPr>
              <w:spacing w:before="100" w:beforeAutospacing="1" w:after="100" w:afterAutospacing="1"/>
              <w:rPr>
                <w:rFonts w:eastAsia="Times New Roman"/>
              </w:rPr>
            </w:pPr>
            <w:r>
              <w:rPr>
                <w:rStyle w:val="Zvraznenie"/>
                <w:rFonts w:ascii="Arial" w:eastAsia="Times New Roman" w:hAnsi="Arial" w:cs="Arial"/>
                <w:color w:val="000000"/>
                <w:sz w:val="21"/>
                <w:szCs w:val="21"/>
              </w:rPr>
              <w:t>Multifunkčné zariadenie</w:t>
            </w:r>
          </w:p>
          <w:p w:rsidR="00000000" w:rsidRDefault="00EB04A8">
            <w:pPr>
              <w:pStyle w:val="Normlnywebov"/>
            </w:pPr>
            <w:r>
              <w:rPr>
                <w:rFonts w:ascii="Arial" w:hAnsi="Arial" w:cs="Arial"/>
                <w:color w:val="000000"/>
                <w:sz w:val="21"/>
                <w:szCs w:val="21"/>
              </w:rPr>
              <w:t>Predpokladáme dodať 118</w:t>
            </w:r>
            <w:r>
              <w:rPr>
                <w:rFonts w:ascii="Arial" w:hAnsi="Arial" w:cs="Arial"/>
                <w:color w:val="000000"/>
                <w:sz w:val="21"/>
                <w:szCs w:val="21"/>
              </w:rPr>
              <w:t xml:space="preserve">3 kusov zariadení - 1 zariadenie na každú z novo pripájaných 1073 obcí a 1 zariadenie na každé zo zahrnutých 110 SOCú. </w:t>
            </w:r>
          </w:p>
          <w:p w:rsidR="00000000" w:rsidRDefault="00EB04A8">
            <w:pPr>
              <w:numPr>
                <w:ilvl w:val="0"/>
                <w:numId w:val="20"/>
              </w:numPr>
              <w:spacing w:before="100" w:beforeAutospacing="1" w:after="100" w:afterAutospacing="1"/>
              <w:rPr>
                <w:rFonts w:eastAsia="Times New Roman"/>
              </w:rPr>
            </w:pPr>
            <w:r>
              <w:rPr>
                <w:rStyle w:val="Zvraznenie"/>
                <w:rFonts w:ascii="Arial" w:eastAsia="Times New Roman" w:hAnsi="Arial" w:cs="Arial"/>
                <w:color w:val="000000"/>
                <w:sz w:val="21"/>
                <w:szCs w:val="21"/>
              </w:rPr>
              <w:t>Atramentová tlačiareň</w:t>
            </w:r>
          </w:p>
          <w:p w:rsidR="00000000" w:rsidRDefault="00EB04A8">
            <w:pPr>
              <w:pStyle w:val="Normlnywebov"/>
            </w:pPr>
            <w:r>
              <w:rPr>
                <w:rFonts w:ascii="Arial" w:hAnsi="Arial" w:cs="Arial"/>
                <w:color w:val="000000"/>
                <w:sz w:val="21"/>
                <w:szCs w:val="21"/>
              </w:rPr>
              <w:t>Predpokladáme dodať 2547 atramentových tlačiarní, 1 zariadenie na každú z novo pripájaných 1073 obcí a 1 zariadeni</w:t>
            </w:r>
            <w:r>
              <w:rPr>
                <w:rFonts w:ascii="Arial" w:hAnsi="Arial" w:cs="Arial"/>
                <w:color w:val="000000"/>
                <w:sz w:val="21"/>
                <w:szCs w:val="21"/>
              </w:rPr>
              <w:t>e na každú z 1474 obcí zapojených v prvej etape projektu DCOM.</w:t>
            </w:r>
          </w:p>
          <w:p w:rsidR="00000000" w:rsidRDefault="00EB04A8">
            <w:pPr>
              <w:numPr>
                <w:ilvl w:val="0"/>
                <w:numId w:val="21"/>
              </w:numPr>
              <w:spacing w:before="100" w:beforeAutospacing="1" w:after="100" w:afterAutospacing="1"/>
              <w:rPr>
                <w:rFonts w:eastAsia="Times New Roman"/>
              </w:rPr>
            </w:pPr>
            <w:r>
              <w:rPr>
                <w:rStyle w:val="Zvraznenie"/>
                <w:rFonts w:ascii="Arial" w:eastAsia="Times New Roman" w:hAnsi="Arial" w:cs="Arial"/>
                <w:color w:val="000000"/>
                <w:sz w:val="21"/>
                <w:szCs w:val="21"/>
              </w:rPr>
              <w:t>Secure USB Token</w:t>
            </w:r>
          </w:p>
          <w:p w:rsidR="00000000" w:rsidRDefault="00EB04A8">
            <w:pPr>
              <w:pStyle w:val="Normlnywebov"/>
            </w:pPr>
            <w:r>
              <w:rPr>
                <w:rFonts w:ascii="Arial" w:hAnsi="Arial" w:cs="Arial"/>
                <w:color w:val="000000"/>
                <w:sz w:val="21"/>
                <w:szCs w:val="21"/>
              </w:rPr>
              <w:t xml:space="preserve">Predpokladáme dodať 13284 tokenov pre každého úradníka na obci. </w:t>
            </w:r>
            <w:r>
              <w:rPr>
                <w:rFonts w:ascii="Arial" w:hAnsi="Arial" w:cs="Arial"/>
                <w:color w:val="000000"/>
                <w:sz w:val="21"/>
                <w:szCs w:val="21"/>
              </w:rPr>
              <w:t xml:space="preserve">Tento počet pozostáva zo 7005 tokenov dodávaných pre novo zapájané obce ako aj pre 7730 užívateľov na pôvodné obce zapojené v pôvodnom projekte DCOM. Z tohto počtu užívateľov sa odrátalo 1451 tokenov, ktoré sme už dodali v rámci miniDCOM+. </w:t>
            </w:r>
          </w:p>
          <w:p w:rsidR="00000000" w:rsidRDefault="00EB04A8">
            <w:pPr>
              <w:numPr>
                <w:ilvl w:val="0"/>
                <w:numId w:val="22"/>
              </w:numPr>
              <w:spacing w:before="100" w:beforeAutospacing="1" w:after="100" w:afterAutospacing="1"/>
              <w:rPr>
                <w:rFonts w:eastAsia="Times New Roman"/>
              </w:rPr>
            </w:pPr>
            <w:r>
              <w:rPr>
                <w:rStyle w:val="Zvraznenie"/>
                <w:rFonts w:ascii="Arial" w:eastAsia="Times New Roman" w:hAnsi="Arial" w:cs="Arial"/>
                <w:color w:val="000000"/>
                <w:sz w:val="21"/>
                <w:szCs w:val="21"/>
              </w:rPr>
              <w:t>Čítačka na čiar</w:t>
            </w:r>
            <w:r>
              <w:rPr>
                <w:rStyle w:val="Zvraznenie"/>
                <w:rFonts w:ascii="Arial" w:eastAsia="Times New Roman" w:hAnsi="Arial" w:cs="Arial"/>
                <w:color w:val="000000"/>
                <w:sz w:val="21"/>
                <w:szCs w:val="21"/>
              </w:rPr>
              <w:t>ové kódy</w:t>
            </w:r>
          </w:p>
          <w:p w:rsidR="00000000" w:rsidRDefault="00EB04A8">
            <w:pPr>
              <w:pStyle w:val="Normlnywebov"/>
            </w:pPr>
            <w:r>
              <w:rPr>
                <w:rFonts w:ascii="Arial" w:hAnsi="Arial" w:cs="Arial"/>
                <w:color w:val="000000"/>
                <w:sz w:val="21"/>
                <w:szCs w:val="21"/>
              </w:rPr>
              <w:t xml:space="preserve">Predpokladáme dodávku 5418 čítačiek čiarového kódu. Tento počet pozostáva z dvoch zariadení na každú novú obec a SOcÚ ako aj každý z existujúcich 52 SOcÚ a každú z 1474 už zapojených obcí. </w:t>
            </w:r>
          </w:p>
          <w:p w:rsidR="00000000" w:rsidRDefault="00EB04A8">
            <w:pPr>
              <w:numPr>
                <w:ilvl w:val="0"/>
                <w:numId w:val="23"/>
              </w:numPr>
              <w:spacing w:before="100" w:beforeAutospacing="1" w:after="100" w:afterAutospacing="1"/>
              <w:rPr>
                <w:rFonts w:eastAsia="Times New Roman"/>
              </w:rPr>
            </w:pPr>
            <w:r>
              <w:rPr>
                <w:rStyle w:val="Zvraznenie"/>
                <w:rFonts w:ascii="Arial" w:eastAsia="Times New Roman" w:hAnsi="Arial" w:cs="Arial"/>
                <w:color w:val="000000"/>
                <w:sz w:val="21"/>
                <w:szCs w:val="21"/>
              </w:rPr>
              <w:t>Zariadenie pre lokálne zálohovanie Typ 1</w:t>
            </w:r>
          </w:p>
          <w:p w:rsidR="00000000" w:rsidRDefault="00EB04A8">
            <w:pPr>
              <w:pStyle w:val="Normlnywebov"/>
            </w:pPr>
            <w:r>
              <w:rPr>
                <w:rFonts w:ascii="Arial" w:hAnsi="Arial" w:cs="Arial"/>
                <w:color w:val="000000"/>
                <w:sz w:val="21"/>
                <w:szCs w:val="21"/>
              </w:rPr>
              <w:t xml:space="preserve">Plánujeme dodať 1809 zariadení – po jednom zariadení na každú malú obec. </w:t>
            </w:r>
          </w:p>
          <w:p w:rsidR="00000000" w:rsidRDefault="00EB04A8">
            <w:pPr>
              <w:numPr>
                <w:ilvl w:val="0"/>
                <w:numId w:val="24"/>
              </w:numPr>
              <w:spacing w:before="100" w:beforeAutospacing="1" w:after="100" w:afterAutospacing="1"/>
              <w:rPr>
                <w:rFonts w:eastAsia="Times New Roman"/>
              </w:rPr>
            </w:pPr>
            <w:r>
              <w:rPr>
                <w:rStyle w:val="Zvraznenie"/>
                <w:rFonts w:ascii="Arial" w:eastAsia="Times New Roman" w:hAnsi="Arial" w:cs="Arial"/>
                <w:color w:val="000000"/>
                <w:sz w:val="21"/>
                <w:szCs w:val="21"/>
              </w:rPr>
              <w:t>Zariadenie pre lokálne zálohovanie Typ 2</w:t>
            </w:r>
          </w:p>
          <w:p w:rsidR="00000000" w:rsidRDefault="00EB04A8">
            <w:pPr>
              <w:pStyle w:val="Normlnywebov"/>
            </w:pPr>
            <w:r>
              <w:rPr>
                <w:rFonts w:ascii="Arial" w:hAnsi="Arial" w:cs="Arial"/>
                <w:color w:val="000000"/>
                <w:sz w:val="21"/>
                <w:szCs w:val="21"/>
              </w:rPr>
              <w:t xml:space="preserve">Plánujeme dodať 900 zariadení – po 1 zariadení na každú veľkú obec a SOCú. </w:t>
            </w:r>
          </w:p>
          <w:p w:rsidR="00000000" w:rsidRDefault="00EB04A8">
            <w:pPr>
              <w:pStyle w:val="Normlnywebov"/>
            </w:pPr>
            <w:r>
              <w:rPr>
                <w:rFonts w:ascii="Arial" w:hAnsi="Arial" w:cs="Arial"/>
                <w:color w:val="000000"/>
                <w:sz w:val="21"/>
                <w:szCs w:val="21"/>
              </w:rPr>
              <w:t>Dokopy 2709 na všetky obce a SOcÚ zapojené do DCOM</w:t>
            </w:r>
          </w:p>
          <w:p w:rsidR="00000000" w:rsidRDefault="00EB04A8">
            <w:pPr>
              <w:numPr>
                <w:ilvl w:val="0"/>
                <w:numId w:val="25"/>
              </w:numPr>
              <w:spacing w:before="100" w:beforeAutospacing="1" w:after="100" w:afterAutospacing="1"/>
              <w:rPr>
                <w:rFonts w:eastAsia="Times New Roman"/>
              </w:rPr>
            </w:pPr>
            <w:r>
              <w:rPr>
                <w:rStyle w:val="Zvraznenie"/>
                <w:rFonts w:ascii="Arial" w:eastAsia="Times New Roman" w:hAnsi="Arial" w:cs="Arial"/>
                <w:color w:val="000000"/>
                <w:sz w:val="21"/>
                <w:szCs w:val="21"/>
              </w:rPr>
              <w:t>Router do Finn</w:t>
            </w:r>
            <w:r>
              <w:rPr>
                <w:rStyle w:val="Zvraznenie"/>
                <w:rFonts w:ascii="Arial" w:eastAsia="Times New Roman" w:hAnsi="Arial" w:cs="Arial"/>
                <w:color w:val="000000"/>
                <w:sz w:val="21"/>
                <w:szCs w:val="21"/>
              </w:rPr>
              <w:t>et4</w:t>
            </w:r>
          </w:p>
          <w:p w:rsidR="00000000" w:rsidRDefault="00EB04A8">
            <w:pPr>
              <w:pStyle w:val="Normlnywebov"/>
            </w:pPr>
            <w:r>
              <w:rPr>
                <w:rFonts w:ascii="Arial" w:hAnsi="Arial" w:cs="Arial"/>
                <w:color w:val="000000"/>
                <w:sz w:val="21"/>
                <w:szCs w:val="21"/>
              </w:rPr>
              <w:t xml:space="preserve">V rámci projektu plánujeme dodať 1073 zariadení – 1 ks na každú novo pripájanú obec. </w:t>
            </w:r>
          </w:p>
          <w:p w:rsidR="00000000" w:rsidRDefault="00EB04A8">
            <w:pPr>
              <w:numPr>
                <w:ilvl w:val="0"/>
                <w:numId w:val="26"/>
              </w:numPr>
              <w:spacing w:before="100" w:beforeAutospacing="1" w:after="100" w:afterAutospacing="1"/>
              <w:rPr>
                <w:rFonts w:eastAsia="Times New Roman"/>
              </w:rPr>
            </w:pPr>
            <w:r>
              <w:rPr>
                <w:rStyle w:val="Zvraznenie"/>
                <w:rFonts w:ascii="Arial" w:eastAsia="Times New Roman" w:hAnsi="Arial" w:cs="Arial"/>
                <w:color w:val="000000"/>
                <w:sz w:val="21"/>
                <w:szCs w:val="21"/>
              </w:rPr>
              <w:t>MS Office</w:t>
            </w:r>
          </w:p>
          <w:p w:rsidR="00000000" w:rsidRDefault="00EB04A8">
            <w:pPr>
              <w:pStyle w:val="Normlnywebov"/>
            </w:pPr>
            <w:r>
              <w:rPr>
                <w:rFonts w:ascii="Arial" w:hAnsi="Arial" w:cs="Arial"/>
                <w:color w:val="000000"/>
                <w:sz w:val="21"/>
                <w:szCs w:val="21"/>
              </w:rPr>
              <w:t>V rámci projektu plánujeme dodať 7015 licencií. 1 licencia pre každé PC a NTB vrátane 10 licencií pre CallCentrum.</w:t>
            </w:r>
          </w:p>
          <w:p w:rsidR="00000000" w:rsidRDefault="00EB04A8">
            <w:pPr>
              <w:numPr>
                <w:ilvl w:val="0"/>
                <w:numId w:val="27"/>
              </w:numPr>
              <w:spacing w:before="100" w:beforeAutospacing="1" w:after="100" w:afterAutospacing="1"/>
              <w:rPr>
                <w:rFonts w:eastAsia="Times New Roman"/>
              </w:rPr>
            </w:pPr>
            <w:r>
              <w:rPr>
                <w:rStyle w:val="Zvraznenie"/>
                <w:rFonts w:ascii="Arial" w:eastAsia="Times New Roman" w:hAnsi="Arial" w:cs="Arial"/>
                <w:color w:val="000000"/>
                <w:sz w:val="21"/>
                <w:szCs w:val="21"/>
              </w:rPr>
              <w:t>Antivírusová ochrana</w:t>
            </w:r>
          </w:p>
          <w:p w:rsidR="00000000" w:rsidRDefault="00EB04A8">
            <w:pPr>
              <w:pStyle w:val="Normlnywebov"/>
            </w:pPr>
            <w:r>
              <w:rPr>
                <w:color w:val="000000"/>
                <w:sz w:val="27"/>
                <w:szCs w:val="27"/>
              </w:rPr>
              <w:t> </w:t>
            </w:r>
            <w:r>
              <w:rPr>
                <w:rFonts w:ascii="Arial" w:hAnsi="Arial" w:cs="Arial"/>
                <w:color w:val="000000"/>
                <w:sz w:val="21"/>
                <w:szCs w:val="21"/>
              </w:rPr>
              <w:t>V rámci projektu pl</w:t>
            </w:r>
            <w:r>
              <w:rPr>
                <w:rFonts w:ascii="Arial" w:hAnsi="Arial" w:cs="Arial"/>
                <w:color w:val="000000"/>
                <w:sz w:val="21"/>
                <w:szCs w:val="21"/>
              </w:rPr>
              <w:t>ánujeme dodať 7015 licencií. 1 licencia pre každé PC a NTB vrátane 10 licencií pre CallCentrum</w:t>
            </w:r>
          </w:p>
          <w:p w:rsidR="00000000" w:rsidRDefault="00EB04A8">
            <w:pPr>
              <w:pStyle w:val="Normlnywebov"/>
            </w:pPr>
            <w:r>
              <w:rPr>
                <w:rFonts w:ascii="Arial" w:hAnsi="Arial" w:cs="Arial"/>
                <w:color w:val="000000"/>
                <w:sz w:val="21"/>
                <w:szCs w:val="21"/>
              </w:rPr>
              <w:t>Jednotlivé potreby v konkrétnych obciach sa môžu na základe ich konkrétnych podmienok od týchto stanovených predpokladov líšiť. V tejto súvislosti je potrebné po</w:t>
            </w:r>
            <w:r>
              <w:rPr>
                <w:rFonts w:ascii="Arial" w:hAnsi="Arial" w:cs="Arial"/>
                <w:color w:val="000000"/>
                <w:sz w:val="21"/>
                <w:szCs w:val="21"/>
              </w:rPr>
              <w:t>čítať s určitými odchýlkami, pričom kumulatívne údaje sa nebudú výrazne odlišovať od uvádzaného kumulatívneho predpokladu</w:t>
            </w:r>
          </w:p>
          <w:p w:rsidR="00000000" w:rsidRDefault="00EB04A8">
            <w:pPr>
              <w:pStyle w:val="Normlnywebov"/>
            </w:pPr>
            <w:r>
              <w:t> </w:t>
            </w:r>
          </w:p>
          <w:p w:rsidR="00000000" w:rsidRDefault="00EB04A8">
            <w:pPr>
              <w:pStyle w:val="Normlnywebov"/>
            </w:pPr>
            <w:r>
              <w:t>Z uvedeného vyplývajú nasledovné maximálne požiadavky na vybavenie HW a SW licenciami:</w:t>
            </w:r>
          </w:p>
          <w:p w:rsidR="00000000" w:rsidRDefault="00EB04A8">
            <w:pPr>
              <w:pStyle w:val="Normlnywebov"/>
            </w:pPr>
            <w:r>
              <w:t>Tabuľka 13.1  Počty HW a SW</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503"/>
              <w:gridCol w:w="735"/>
            </w:tblGrid>
            <w:tr w:rsidR="00000000">
              <w:trPr>
                <w:divId w:val="1269462835"/>
                <w:cantSplit/>
                <w:tblCellSpacing w:w="15" w:type="dxa"/>
              </w:trPr>
              <w:tc>
                <w:tcPr>
                  <w:tcW w:w="0" w:type="auto"/>
                  <w:vAlign w:val="center"/>
                  <w:hideMark/>
                </w:tcPr>
                <w:p w:rsidR="00000000" w:rsidRDefault="00EB04A8">
                  <w:pPr>
                    <w:pStyle w:val="Normlnywebov"/>
                  </w:pPr>
                  <w:r>
                    <w:t>Zariadenie</w:t>
                  </w:r>
                </w:p>
              </w:tc>
              <w:tc>
                <w:tcPr>
                  <w:tcW w:w="0" w:type="auto"/>
                  <w:vAlign w:val="center"/>
                  <w:hideMark/>
                </w:tcPr>
                <w:p w:rsidR="00000000" w:rsidRDefault="00EB04A8">
                  <w:pPr>
                    <w:pStyle w:val="Normlnywebov"/>
                    <w:jc w:val="center"/>
                  </w:pPr>
                  <w:r>
                    <w:t>Počet</w:t>
                  </w:r>
                </w:p>
              </w:tc>
            </w:tr>
            <w:tr w:rsidR="00000000">
              <w:trPr>
                <w:divId w:val="1269462835"/>
                <w:cantSplit/>
                <w:tblCellSpacing w:w="15" w:type="dxa"/>
              </w:trPr>
              <w:tc>
                <w:tcPr>
                  <w:tcW w:w="0" w:type="auto"/>
                  <w:vAlign w:val="center"/>
                  <w:hideMark/>
                </w:tcPr>
                <w:p w:rsidR="00000000" w:rsidRDefault="00EB04A8">
                  <w:pPr>
                    <w:pStyle w:val="Normlnywebov"/>
                  </w:pPr>
                  <w:r>
                    <w:t>Notebook + operačný systém</w:t>
                  </w:r>
                </w:p>
              </w:tc>
              <w:tc>
                <w:tcPr>
                  <w:tcW w:w="0" w:type="auto"/>
                  <w:vAlign w:val="center"/>
                  <w:hideMark/>
                </w:tcPr>
                <w:p w:rsidR="00000000" w:rsidRDefault="00EB04A8">
                  <w:pPr>
                    <w:pStyle w:val="Normlnywebov"/>
                    <w:jc w:val="right"/>
                  </w:pPr>
                  <w:r>
                    <w:t>3 000</w:t>
                  </w:r>
                </w:p>
              </w:tc>
            </w:tr>
            <w:tr w:rsidR="00000000">
              <w:trPr>
                <w:divId w:val="1269462835"/>
                <w:cantSplit/>
                <w:tblCellSpacing w:w="15" w:type="dxa"/>
              </w:trPr>
              <w:tc>
                <w:tcPr>
                  <w:tcW w:w="0" w:type="auto"/>
                  <w:vAlign w:val="center"/>
                  <w:hideMark/>
                </w:tcPr>
                <w:p w:rsidR="00000000" w:rsidRDefault="00EB04A8">
                  <w:pPr>
                    <w:pStyle w:val="Normlnywebov"/>
                  </w:pPr>
                  <w:r>
                    <w:t>Desktop + operačný systém</w:t>
                  </w:r>
                </w:p>
              </w:tc>
              <w:tc>
                <w:tcPr>
                  <w:tcW w:w="0" w:type="auto"/>
                  <w:vAlign w:val="center"/>
                  <w:hideMark/>
                </w:tcPr>
                <w:p w:rsidR="00000000" w:rsidRDefault="00EB04A8">
                  <w:pPr>
                    <w:pStyle w:val="Normlnywebov"/>
                    <w:jc w:val="right"/>
                  </w:pPr>
                  <w:r>
                    <w:t>4 005</w:t>
                  </w:r>
                </w:p>
              </w:tc>
            </w:tr>
            <w:tr w:rsidR="00000000">
              <w:trPr>
                <w:divId w:val="1269462835"/>
                <w:cantSplit/>
                <w:tblCellSpacing w:w="15" w:type="dxa"/>
              </w:trPr>
              <w:tc>
                <w:tcPr>
                  <w:tcW w:w="0" w:type="auto"/>
                  <w:vAlign w:val="center"/>
                  <w:hideMark/>
                </w:tcPr>
                <w:p w:rsidR="00000000" w:rsidRDefault="00EB04A8">
                  <w:pPr>
                    <w:pStyle w:val="Normlnywebov"/>
                  </w:pPr>
                  <w:r>
                    <w:t>Multifunkčné zariadenie Typ 2 min. 6000 strán/mesiac</w:t>
                  </w:r>
                </w:p>
              </w:tc>
              <w:tc>
                <w:tcPr>
                  <w:tcW w:w="0" w:type="auto"/>
                  <w:vAlign w:val="center"/>
                  <w:hideMark/>
                </w:tcPr>
                <w:p w:rsidR="00000000" w:rsidRDefault="00EB04A8">
                  <w:pPr>
                    <w:pStyle w:val="Normlnywebov"/>
                    <w:jc w:val="right"/>
                  </w:pPr>
                  <w:r>
                    <w:t>1 183</w:t>
                  </w:r>
                </w:p>
              </w:tc>
            </w:tr>
            <w:tr w:rsidR="00000000">
              <w:trPr>
                <w:divId w:val="1269462835"/>
                <w:cantSplit/>
                <w:tblCellSpacing w:w="15" w:type="dxa"/>
              </w:trPr>
              <w:tc>
                <w:tcPr>
                  <w:tcW w:w="0" w:type="auto"/>
                  <w:vAlign w:val="center"/>
                  <w:hideMark/>
                </w:tcPr>
                <w:p w:rsidR="00000000" w:rsidRDefault="00EB04A8">
                  <w:pPr>
                    <w:pStyle w:val="Normlnywebov"/>
                  </w:pPr>
                  <w:r>
                    <w:t>Atramentová tlačiareň pre bezokrajovú tlač štítkov</w:t>
                  </w:r>
                </w:p>
              </w:tc>
              <w:tc>
                <w:tcPr>
                  <w:tcW w:w="0" w:type="auto"/>
                  <w:vAlign w:val="center"/>
                  <w:hideMark/>
                </w:tcPr>
                <w:p w:rsidR="00000000" w:rsidRDefault="00EB04A8">
                  <w:pPr>
                    <w:pStyle w:val="Normlnywebov"/>
                    <w:jc w:val="right"/>
                  </w:pPr>
                  <w:r>
                    <w:t>2 547</w:t>
                  </w:r>
                </w:p>
              </w:tc>
            </w:tr>
            <w:tr w:rsidR="00000000">
              <w:trPr>
                <w:divId w:val="1269462835"/>
                <w:cantSplit/>
                <w:tblCellSpacing w:w="15" w:type="dxa"/>
              </w:trPr>
              <w:tc>
                <w:tcPr>
                  <w:tcW w:w="0" w:type="auto"/>
                  <w:vAlign w:val="center"/>
                  <w:hideMark/>
                </w:tcPr>
                <w:p w:rsidR="00000000" w:rsidRDefault="00EB04A8">
                  <w:pPr>
                    <w:pStyle w:val="Normlnywebov"/>
                  </w:pPr>
                  <w:r>
                    <w:t>Secure USB Token vrátane SW licencie</w:t>
                  </w:r>
                </w:p>
              </w:tc>
              <w:tc>
                <w:tcPr>
                  <w:tcW w:w="0" w:type="auto"/>
                  <w:vAlign w:val="center"/>
                  <w:hideMark/>
                </w:tcPr>
                <w:p w:rsidR="00000000" w:rsidRDefault="00EB04A8">
                  <w:pPr>
                    <w:pStyle w:val="Normlnywebov"/>
                    <w:jc w:val="right"/>
                  </w:pPr>
                  <w:r>
                    <w:t>13 284</w:t>
                  </w:r>
                </w:p>
              </w:tc>
            </w:tr>
            <w:tr w:rsidR="00000000">
              <w:trPr>
                <w:divId w:val="1269462835"/>
                <w:cantSplit/>
                <w:tblCellSpacing w:w="15" w:type="dxa"/>
              </w:trPr>
              <w:tc>
                <w:tcPr>
                  <w:tcW w:w="0" w:type="auto"/>
                  <w:vAlign w:val="center"/>
                  <w:hideMark/>
                </w:tcPr>
                <w:p w:rsidR="00000000" w:rsidRDefault="00EB04A8">
                  <w:pPr>
                    <w:pStyle w:val="Normlnywebov"/>
                  </w:pPr>
                  <w:r>
                    <w:t>Čítačka na čiarové kódy a</w:t>
                  </w:r>
                  <w:r>
                    <w:t>j pre QR</w:t>
                  </w:r>
                </w:p>
              </w:tc>
              <w:tc>
                <w:tcPr>
                  <w:tcW w:w="0" w:type="auto"/>
                  <w:vAlign w:val="center"/>
                  <w:hideMark/>
                </w:tcPr>
                <w:p w:rsidR="00000000" w:rsidRDefault="00EB04A8">
                  <w:pPr>
                    <w:pStyle w:val="Normlnywebov"/>
                    <w:jc w:val="right"/>
                  </w:pPr>
                  <w:r>
                    <w:t>5 418</w:t>
                  </w:r>
                </w:p>
              </w:tc>
            </w:tr>
            <w:tr w:rsidR="00000000">
              <w:trPr>
                <w:divId w:val="1269462835"/>
                <w:cantSplit/>
                <w:tblCellSpacing w:w="15" w:type="dxa"/>
              </w:trPr>
              <w:tc>
                <w:tcPr>
                  <w:tcW w:w="0" w:type="auto"/>
                  <w:vAlign w:val="center"/>
                  <w:hideMark/>
                </w:tcPr>
                <w:p w:rsidR="00000000" w:rsidRDefault="00EB04A8">
                  <w:pPr>
                    <w:pStyle w:val="Normlnywebov"/>
                  </w:pPr>
                  <w:r>
                    <w:t>Zariadenie pre lokálne zálohovanie Typ 1 – pre malé obce a SOcÚ</w:t>
                  </w:r>
                </w:p>
              </w:tc>
              <w:tc>
                <w:tcPr>
                  <w:tcW w:w="0" w:type="auto"/>
                  <w:vAlign w:val="center"/>
                  <w:hideMark/>
                </w:tcPr>
                <w:p w:rsidR="00000000" w:rsidRDefault="00EB04A8">
                  <w:pPr>
                    <w:pStyle w:val="Normlnywebov"/>
                    <w:jc w:val="right"/>
                  </w:pPr>
                  <w:r>
                    <w:t>1 809</w:t>
                  </w:r>
                </w:p>
              </w:tc>
            </w:tr>
            <w:tr w:rsidR="00000000">
              <w:trPr>
                <w:divId w:val="1269462835"/>
                <w:cantSplit/>
                <w:tblCellSpacing w:w="15" w:type="dxa"/>
              </w:trPr>
              <w:tc>
                <w:tcPr>
                  <w:tcW w:w="0" w:type="auto"/>
                  <w:vAlign w:val="center"/>
                  <w:hideMark/>
                </w:tcPr>
                <w:p w:rsidR="00000000" w:rsidRDefault="00EB04A8">
                  <w:pPr>
                    <w:pStyle w:val="Normlnywebov"/>
                  </w:pPr>
                  <w:r>
                    <w:t>Zariadenie pre lokálne zálohovanie Typ 2 – pre stredne veľké obce</w:t>
                  </w:r>
                </w:p>
              </w:tc>
              <w:tc>
                <w:tcPr>
                  <w:tcW w:w="0" w:type="auto"/>
                  <w:vAlign w:val="center"/>
                  <w:hideMark/>
                </w:tcPr>
                <w:p w:rsidR="00000000" w:rsidRDefault="00EB04A8">
                  <w:pPr>
                    <w:pStyle w:val="Normlnywebov"/>
                    <w:jc w:val="right"/>
                  </w:pPr>
                  <w:r>
                    <w:t>900</w:t>
                  </w:r>
                </w:p>
              </w:tc>
            </w:tr>
            <w:tr w:rsidR="00000000">
              <w:trPr>
                <w:divId w:val="1269462835"/>
                <w:cantSplit/>
                <w:tblCellSpacing w:w="15" w:type="dxa"/>
              </w:trPr>
              <w:tc>
                <w:tcPr>
                  <w:tcW w:w="0" w:type="auto"/>
                  <w:vAlign w:val="center"/>
                  <w:hideMark/>
                </w:tcPr>
                <w:p w:rsidR="00000000" w:rsidRDefault="00EB04A8">
                  <w:pPr>
                    <w:pStyle w:val="Normlnywebov"/>
                  </w:pPr>
                  <w:r>
                    <w:t>Router pre pripojenie obce do siete Finnet4</w:t>
                  </w:r>
                </w:p>
              </w:tc>
              <w:tc>
                <w:tcPr>
                  <w:tcW w:w="0" w:type="auto"/>
                  <w:vAlign w:val="center"/>
                  <w:hideMark/>
                </w:tcPr>
                <w:p w:rsidR="00000000" w:rsidRDefault="00EB04A8">
                  <w:pPr>
                    <w:pStyle w:val="Normlnywebov"/>
                    <w:jc w:val="right"/>
                  </w:pPr>
                  <w:r>
                    <w:t>1 073</w:t>
                  </w:r>
                </w:p>
              </w:tc>
            </w:tr>
            <w:tr w:rsidR="00000000">
              <w:trPr>
                <w:divId w:val="1269462835"/>
                <w:cantSplit/>
                <w:tblCellSpacing w:w="15" w:type="dxa"/>
              </w:trPr>
              <w:tc>
                <w:tcPr>
                  <w:tcW w:w="0" w:type="auto"/>
                  <w:vAlign w:val="center"/>
                  <w:hideMark/>
                </w:tcPr>
                <w:p w:rsidR="00000000" w:rsidRDefault="00EB04A8">
                  <w:pPr>
                    <w:pStyle w:val="Normlnywebov"/>
                  </w:pPr>
                  <w:r>
                    <w:t>Kancelársky SW ( +10 ks pre PC Call Centrum)</w:t>
                  </w:r>
                </w:p>
              </w:tc>
              <w:tc>
                <w:tcPr>
                  <w:tcW w:w="0" w:type="auto"/>
                  <w:vAlign w:val="center"/>
                  <w:hideMark/>
                </w:tcPr>
                <w:p w:rsidR="00000000" w:rsidRDefault="00EB04A8">
                  <w:pPr>
                    <w:pStyle w:val="Normlnywebov"/>
                    <w:jc w:val="right"/>
                  </w:pPr>
                  <w:r>
                    <w:t>7 015</w:t>
                  </w:r>
                </w:p>
              </w:tc>
            </w:tr>
            <w:tr w:rsidR="00000000">
              <w:trPr>
                <w:divId w:val="1269462835"/>
                <w:cantSplit/>
                <w:tblCellSpacing w:w="15" w:type="dxa"/>
              </w:trPr>
              <w:tc>
                <w:tcPr>
                  <w:tcW w:w="0" w:type="auto"/>
                  <w:vAlign w:val="center"/>
                  <w:hideMark/>
                </w:tcPr>
                <w:p w:rsidR="00000000" w:rsidRDefault="00EB04A8">
                  <w:pPr>
                    <w:pStyle w:val="Normlnywebov"/>
                  </w:pPr>
                  <w:r>
                    <w:t>Antivírová ochrana ( +10 ks pre PC Call Centrum)</w:t>
                  </w:r>
                </w:p>
              </w:tc>
              <w:tc>
                <w:tcPr>
                  <w:tcW w:w="0" w:type="auto"/>
                  <w:vAlign w:val="center"/>
                  <w:hideMark/>
                </w:tcPr>
                <w:p w:rsidR="00000000" w:rsidRDefault="00EB04A8">
                  <w:pPr>
                    <w:pStyle w:val="Normlnywebov"/>
                    <w:jc w:val="right"/>
                  </w:pPr>
                  <w:r>
                    <w:t>7 015</w:t>
                  </w:r>
                </w:p>
              </w:tc>
            </w:tr>
            <w:tr w:rsidR="00000000">
              <w:trPr>
                <w:divId w:val="1269462835"/>
                <w:cantSplit/>
                <w:tblCellSpacing w:w="15" w:type="dxa"/>
              </w:trPr>
              <w:tc>
                <w:tcPr>
                  <w:tcW w:w="0" w:type="auto"/>
                  <w:vAlign w:val="center"/>
                  <w:hideMark/>
                </w:tcPr>
                <w:p w:rsidR="00000000" w:rsidRDefault="00EB04A8">
                  <w:pPr>
                    <w:pStyle w:val="Normlnywebov"/>
                  </w:pPr>
                  <w:r>
                    <w:t>Prístupová licencia k službám Microsoft Windows</w:t>
                  </w:r>
                </w:p>
              </w:tc>
              <w:tc>
                <w:tcPr>
                  <w:tcW w:w="0" w:type="auto"/>
                  <w:vAlign w:val="center"/>
                  <w:hideMark/>
                </w:tcPr>
                <w:p w:rsidR="00000000" w:rsidRDefault="00EB04A8">
                  <w:pPr>
                    <w:pStyle w:val="Normlnywebov"/>
                    <w:jc w:val="right"/>
                  </w:pPr>
                  <w:r>
                    <w:t>7 015</w:t>
                  </w:r>
                </w:p>
              </w:tc>
            </w:tr>
            <w:tr w:rsidR="00000000">
              <w:trPr>
                <w:divId w:val="1269462835"/>
                <w:cantSplit/>
                <w:tblCellSpacing w:w="15" w:type="dxa"/>
              </w:trPr>
              <w:tc>
                <w:tcPr>
                  <w:tcW w:w="0" w:type="auto"/>
                  <w:vAlign w:val="center"/>
                  <w:hideMark/>
                </w:tcPr>
                <w:p w:rsidR="00000000" w:rsidRDefault="00EB04A8">
                  <w:pPr>
                    <w:pStyle w:val="Normlnywebov"/>
                  </w:pPr>
                  <w:r>
                    <w:t>Prístupová licencia k mailovým službám</w:t>
                  </w:r>
                </w:p>
              </w:tc>
              <w:tc>
                <w:tcPr>
                  <w:tcW w:w="0" w:type="auto"/>
                  <w:vAlign w:val="center"/>
                  <w:hideMark/>
                </w:tcPr>
                <w:p w:rsidR="00000000" w:rsidRDefault="00EB04A8">
                  <w:pPr>
                    <w:pStyle w:val="Normlnywebov"/>
                    <w:jc w:val="right"/>
                  </w:pPr>
                  <w:r>
                    <w:t>7 015</w:t>
                  </w:r>
                </w:p>
              </w:tc>
            </w:tr>
          </w:tbl>
          <w:p w:rsidR="00000000" w:rsidRDefault="00EB04A8">
            <w:pPr>
              <w:pStyle w:val="Normlnywebov"/>
            </w:pPr>
            <w:r>
              <w:t>Z pohľadu nákupu softvérových licencií pre koncové počítače, sme ako alternatívu zvažovali a</w:t>
            </w:r>
            <w:r>
              <w:t xml:space="preserve">j možnosť ich nákupu cez vládnu multilicenčnú zmluvu, avšak v súčasnosti platné pravidlá neumožňujú prostredníctvom EA zmluvy obstarať prístupové licencie k centrálnemu serveru. Licencie pre kancelársky SW je možné poskytnúť cez vládnu multilicenciu avšak </w:t>
            </w:r>
            <w:r>
              <w:t>v cene licencie je zahrnutá aj prevádzka (SA) čo sa vylučuje s pravidlami OPII.</w:t>
            </w:r>
          </w:p>
          <w:p w:rsidR="00000000" w:rsidRDefault="00EB04A8">
            <w:pPr>
              <w:pStyle w:val="Normlnywebov"/>
            </w:pPr>
            <w:r>
              <w:t>Pre doplnenie výkonu v cloude je potrebné rozšíriť zdroje pre platformy a licenčne ich pokryť</w:t>
            </w:r>
          </w:p>
          <w:p w:rsidR="00000000" w:rsidRDefault="00EB04A8">
            <w:pPr>
              <w:pStyle w:val="Normlnywebov"/>
              <w:numPr>
                <w:ilvl w:val="0"/>
                <w:numId w:val="28"/>
              </w:numPr>
            </w:pPr>
            <w:r>
              <w:t>Serverovská platforma s managementom</w:t>
            </w:r>
          </w:p>
          <w:p w:rsidR="00000000" w:rsidRDefault="00EB04A8">
            <w:pPr>
              <w:pStyle w:val="Normlnywebov"/>
              <w:numPr>
                <w:ilvl w:val="0"/>
                <w:numId w:val="28"/>
              </w:numPr>
            </w:pPr>
            <w:r>
              <w:t>Zálohovanie a </w:t>
            </w:r>
            <w:r>
              <w:t>archivácia (softvérové licencie)</w:t>
            </w:r>
          </w:p>
          <w:p w:rsidR="00000000" w:rsidRDefault="00EB04A8">
            <w:pPr>
              <w:pStyle w:val="Normlnywebov"/>
              <w:numPr>
                <w:ilvl w:val="0"/>
                <w:numId w:val="28"/>
              </w:numPr>
            </w:pPr>
            <w:r>
              <w:t>Prostredie pre  SOA a IS DCOM  (ESB, aplikačná platforma, databáza, portály, aplikačná platforma)</w:t>
            </w:r>
          </w:p>
          <w:p w:rsidR="00000000" w:rsidRDefault="00EB04A8">
            <w:pPr>
              <w:pStyle w:val="Normlnywebov"/>
              <w:numPr>
                <w:ilvl w:val="0"/>
                <w:numId w:val="28"/>
              </w:numPr>
            </w:pPr>
            <w:r>
              <w:t>Prostredie pre mail</w:t>
            </w:r>
          </w:p>
          <w:p w:rsidR="00000000" w:rsidRDefault="00EB04A8">
            <w:pPr>
              <w:pStyle w:val="Normlnywebov"/>
              <w:numPr>
                <w:ilvl w:val="0"/>
                <w:numId w:val="28"/>
              </w:numPr>
            </w:pPr>
            <w:r>
              <w:t>Prostredie pre ISO</w:t>
            </w:r>
          </w:p>
          <w:p w:rsidR="00000000" w:rsidRDefault="00EB04A8">
            <w:pPr>
              <w:pStyle w:val="Normlnywebov"/>
              <w:numPr>
                <w:ilvl w:val="0"/>
                <w:numId w:val="28"/>
              </w:numPr>
            </w:pPr>
            <w:r>
              <w:t>Vzdialená správa PC Obce</w:t>
            </w:r>
          </w:p>
          <w:p w:rsidR="00000000" w:rsidRDefault="00EB04A8">
            <w:pPr>
              <w:pStyle w:val="Normlnywebov"/>
              <w:numPr>
                <w:ilvl w:val="0"/>
                <w:numId w:val="28"/>
              </w:numPr>
            </w:pPr>
            <w:r>
              <w:t>Platforma pre diagnostiku problémov na infraštruktúre obce</w:t>
            </w:r>
          </w:p>
          <w:p w:rsidR="00000000" w:rsidRDefault="00EB04A8">
            <w:pPr>
              <w:numPr>
                <w:ilvl w:val="0"/>
                <w:numId w:val="28"/>
              </w:numPr>
              <w:spacing w:before="100" w:beforeAutospacing="1" w:after="100" w:afterAutospacing="1"/>
              <w:rPr>
                <w:rFonts w:eastAsia="Times New Roman"/>
              </w:rPr>
            </w:pPr>
            <w:r>
              <w:rPr>
                <w:rFonts w:eastAsia="Times New Roman"/>
              </w:rPr>
              <w:t>Hl</w:t>
            </w:r>
            <w:r>
              <w:rPr>
                <w:rFonts w:eastAsia="Times New Roman"/>
              </w:rPr>
              <w:t>asová platforma operátorov CallCentra</w:t>
            </w:r>
            <w:r>
              <w:rPr>
                <w:rFonts w:eastAsia="Times New Roman"/>
              </w:rPr>
              <w:br/>
              <w:t>             </w:t>
            </w:r>
            <w:r>
              <w:rPr>
                <w:rFonts w:eastAsia="Times New Roman"/>
              </w:rPr>
              <w:br/>
              <w:t>Detailná kvantifikácia je uvedená v prílohách.    </w:t>
            </w:r>
            <w:r>
              <w:rPr>
                <w:rFonts w:ascii="Arial Narrow" w:eastAsia="Times New Roman" w:hAnsi="Arial Narrow"/>
                <w:color w:val="000000"/>
              </w:rPr>
              <w:t> </w:t>
            </w:r>
          </w:p>
        </w:tc>
      </w:tr>
      <w:tr w:rsidR="00000000">
        <w:trPr>
          <w:divId w:val="2048333391"/>
          <w:cantSplit/>
          <w:tblCellSpacing w:w="15" w:type="dxa"/>
        </w:trPr>
        <w:tc>
          <w:tcPr>
            <w:tcW w:w="0" w:type="auto"/>
            <w:vAlign w:val="center"/>
            <w:hideMark/>
          </w:tcPr>
          <w:p w:rsidR="00000000" w:rsidRDefault="00EB04A8">
            <w:pPr>
              <w:pStyle w:val="Normlnywebov"/>
            </w:pPr>
            <w:r>
              <w:rPr>
                <w:rFonts w:ascii="Arial Narrow" w:hAnsi="Arial Narrow"/>
                <w:color w:val="000000"/>
                <w:sz w:val="18"/>
                <w:szCs w:val="18"/>
              </w:rPr>
              <w:t>Kritéria kvality</w:t>
            </w:r>
          </w:p>
        </w:tc>
        <w:tc>
          <w:tcPr>
            <w:tcW w:w="0" w:type="auto"/>
            <w:vAlign w:val="center"/>
            <w:hideMark/>
          </w:tcPr>
          <w:p w:rsidR="00000000" w:rsidRDefault="00EB04A8">
            <w:pPr>
              <w:pStyle w:val="Normlnywebov"/>
            </w:pPr>
            <w:r>
              <w:rPr>
                <w:rStyle w:val="Siln"/>
                <w:rFonts w:ascii="Arial Narrow" w:hAnsi="Arial Narrow"/>
                <w:color w:val="000000"/>
                <w:sz w:val="18"/>
                <w:szCs w:val="18"/>
              </w:rPr>
              <w:t>Spresnenie kritérií kvality:</w:t>
            </w:r>
            <w:r>
              <w:rPr>
                <w:rFonts w:ascii="Arial Narrow" w:hAnsi="Arial Narrow"/>
                <w:color w:val="000000"/>
                <w:sz w:val="18"/>
                <w:szCs w:val="18"/>
              </w:rPr>
              <w:t xml:space="preserve"> Odkazy na relevantné identifikátory kritérií kvality v prílohe Kritéria kvality. </w:t>
            </w:r>
          </w:p>
        </w:tc>
      </w:tr>
      <w:tr w:rsidR="00000000">
        <w:trPr>
          <w:divId w:val="2048333391"/>
          <w:cantSplit/>
          <w:tblCellSpacing w:w="15" w:type="dxa"/>
        </w:trPr>
        <w:tc>
          <w:tcPr>
            <w:tcW w:w="0" w:type="auto"/>
            <w:vAlign w:val="center"/>
            <w:hideMark/>
          </w:tcPr>
          <w:p w:rsidR="00000000" w:rsidRDefault="00EB04A8">
            <w:pPr>
              <w:pStyle w:val="Normlnywebov"/>
            </w:pPr>
            <w:r>
              <w:rPr>
                <w:color w:val="000000"/>
                <w:sz w:val="27"/>
                <w:szCs w:val="27"/>
              </w:rPr>
              <w:t xml:space="preserve">Q06 - </w:t>
            </w:r>
            <w:bookmarkStart w:id="11" w:name="_Toc446408284"/>
            <w:bookmarkEnd w:id="11"/>
            <w:r>
              <w:rPr>
                <w:color w:val="000000"/>
                <w:sz w:val="27"/>
                <w:szCs w:val="27"/>
              </w:rPr>
              <w:t>Je projekt v súlade s platnými štandardami vydanými na základe zákona o informačných systémoch verejnej správy a o zmene a doplnení niektorých zákonov?</w:t>
            </w:r>
          </w:p>
          <w:p w:rsidR="00000000" w:rsidRDefault="00EB04A8">
            <w:pPr>
              <w:pStyle w:val="Normlnywebov"/>
            </w:pPr>
            <w:r>
              <w:rPr>
                <w:color w:val="000000"/>
                <w:sz w:val="27"/>
                <w:szCs w:val="27"/>
              </w:rPr>
              <w:t xml:space="preserve">Q07 - </w:t>
            </w:r>
            <w:bookmarkStart w:id="12" w:name="_Toc446408285"/>
            <w:bookmarkEnd w:id="12"/>
            <w:r>
              <w:rPr>
                <w:color w:val="000000"/>
                <w:sz w:val="27"/>
                <w:szCs w:val="27"/>
              </w:rPr>
              <w:t xml:space="preserve">Je projekt v súlade so zákonom o elektronickej podobe výkonu pôsobnosti orgánov verejnej moci a o </w:t>
            </w:r>
            <w:r>
              <w:rPr>
                <w:color w:val="000000"/>
                <w:sz w:val="27"/>
                <w:szCs w:val="27"/>
              </w:rPr>
              <w:t xml:space="preserve">zmene a doplnení niektorých zákonov (zákon o e-Governmente)? Q08 - </w:t>
            </w:r>
            <w:bookmarkStart w:id="13" w:name="_Toc446408286"/>
            <w:bookmarkEnd w:id="13"/>
            <w:r>
              <w:rPr>
                <w:color w:val="000000"/>
                <w:sz w:val="27"/>
                <w:szCs w:val="27"/>
              </w:rPr>
              <w:t>Je projekt v súlade so zákonom o informačných systémoch verejnej správy a o zmene a doplnení niektorých zákonov?</w:t>
            </w:r>
          </w:p>
          <w:p w:rsidR="00000000" w:rsidRDefault="00EB04A8">
            <w:pPr>
              <w:rPr>
                <w:rFonts w:eastAsia="Times New Roman"/>
              </w:rPr>
            </w:pPr>
            <w:r>
              <w:rPr>
                <w:rFonts w:eastAsia="Times New Roman"/>
                <w:color w:val="000000"/>
                <w:sz w:val="27"/>
                <w:szCs w:val="27"/>
              </w:rPr>
              <w:t xml:space="preserve">Q09 - </w:t>
            </w:r>
            <w:bookmarkStart w:id="14" w:name="_Toc446408287"/>
            <w:bookmarkEnd w:id="14"/>
            <w:r>
              <w:rPr>
                <w:rFonts w:ascii="Arial Narrow" w:eastAsia="Times New Roman" w:hAnsi="Arial Narrow"/>
                <w:color w:val="000000"/>
                <w:sz w:val="18"/>
                <w:szCs w:val="18"/>
              </w:rPr>
              <w:t>Je projekt v súlade s princípom Cloud prednostne?</w:t>
            </w:r>
          </w:p>
        </w:tc>
        <w:tc>
          <w:tcPr>
            <w:tcW w:w="0" w:type="auto"/>
            <w:vAlign w:val="center"/>
            <w:hideMark/>
          </w:tcPr>
          <w:p w:rsidR="00000000" w:rsidRDefault="00EB04A8">
            <w:pPr>
              <w:rPr>
                <w:rFonts w:eastAsia="Times New Roman"/>
              </w:rPr>
            </w:pPr>
            <w:r>
              <w:rPr>
                <w:rFonts w:eastAsia="Times New Roman"/>
              </w:rPr>
              <w:t> </w:t>
            </w:r>
          </w:p>
        </w:tc>
      </w:tr>
      <w:tr w:rsidR="00000000">
        <w:trPr>
          <w:divId w:val="2048333391"/>
          <w:cantSplit/>
          <w:tblCellSpacing w:w="15" w:type="dxa"/>
        </w:trPr>
        <w:tc>
          <w:tcPr>
            <w:tcW w:w="0" w:type="auto"/>
            <w:vAlign w:val="center"/>
            <w:hideMark/>
          </w:tcPr>
          <w:p w:rsidR="00000000" w:rsidRDefault="00EB04A8">
            <w:pPr>
              <w:rPr>
                <w:rFonts w:eastAsia="Times New Roman"/>
              </w:rPr>
            </w:pPr>
            <w:r>
              <w:rPr>
                <w:rStyle w:val="Siln"/>
                <w:rFonts w:eastAsia="Times New Roman"/>
              </w:rPr>
              <w:t> </w:t>
            </w:r>
            <w:r>
              <w:rPr>
                <w:rStyle w:val="Siln"/>
                <w:rFonts w:ascii="Arial Narrow" w:eastAsia="Times New Roman" w:hAnsi="Arial Narrow"/>
                <w:color w:val="000000"/>
                <w:sz w:val="18"/>
                <w:szCs w:val="18"/>
              </w:rPr>
              <w:t>Riziká</w:t>
            </w:r>
          </w:p>
        </w:tc>
        <w:tc>
          <w:tcPr>
            <w:tcW w:w="0" w:type="auto"/>
            <w:vAlign w:val="center"/>
            <w:hideMark/>
          </w:tcPr>
          <w:p w:rsidR="00000000" w:rsidRDefault="00EB04A8">
            <w:pPr>
              <w:rPr>
                <w:rFonts w:eastAsia="Times New Roman"/>
              </w:rPr>
            </w:pPr>
            <w:r>
              <w:rPr>
                <w:rFonts w:eastAsia="Times New Roman"/>
              </w:rPr>
              <w:t> </w:t>
            </w:r>
            <w:r>
              <w:rPr>
                <w:rStyle w:val="Siln"/>
                <w:rFonts w:ascii="Arial Narrow" w:eastAsia="Times New Roman" w:hAnsi="Arial Narrow"/>
                <w:color w:val="000000"/>
                <w:sz w:val="18"/>
                <w:szCs w:val="18"/>
              </w:rPr>
              <w:t>Spresnen</w:t>
            </w:r>
            <w:r>
              <w:rPr>
                <w:rStyle w:val="Siln"/>
                <w:rFonts w:ascii="Arial Narrow" w:eastAsia="Times New Roman" w:hAnsi="Arial Narrow"/>
                <w:color w:val="000000"/>
                <w:sz w:val="18"/>
                <w:szCs w:val="18"/>
              </w:rPr>
              <w:t>ie identifikovaných rizík:</w:t>
            </w:r>
            <w:r>
              <w:rPr>
                <w:rFonts w:ascii="Arial Narrow" w:eastAsia="Times New Roman" w:hAnsi="Arial Narrow"/>
                <w:color w:val="000000"/>
                <w:sz w:val="18"/>
                <w:szCs w:val="18"/>
              </w:rPr>
              <w:t xml:space="preserve"> Odkazy na relevantné identifikátory rizík v prílohe Riziká.</w:t>
            </w:r>
          </w:p>
        </w:tc>
      </w:tr>
      <w:tr w:rsidR="00000000">
        <w:trPr>
          <w:divId w:val="2048333391"/>
          <w:cantSplit/>
          <w:tblCellSpacing w:w="15" w:type="dxa"/>
        </w:trPr>
        <w:tc>
          <w:tcPr>
            <w:tcW w:w="0" w:type="auto"/>
            <w:vAlign w:val="center"/>
            <w:hideMark/>
          </w:tcPr>
          <w:p w:rsidR="00000000" w:rsidRDefault="00EB04A8">
            <w:pPr>
              <w:pStyle w:val="Normlnywebov"/>
            </w:pPr>
            <w:r>
              <w:t> </w:t>
            </w:r>
            <w:r>
              <w:rPr>
                <w:color w:val="000000"/>
                <w:sz w:val="27"/>
                <w:szCs w:val="27"/>
              </w:rPr>
              <w:t xml:space="preserve"> R19 - </w:t>
            </w:r>
            <w:bookmarkStart w:id="15" w:name="_Toc446408315"/>
            <w:bookmarkEnd w:id="15"/>
            <w:r>
              <w:rPr>
                <w:color w:val="000000"/>
                <w:sz w:val="27"/>
                <w:szCs w:val="27"/>
              </w:rPr>
              <w:t>Technické riešenia ISO, ktoré majú byť zapojené do DCOM, nebudú kompatibilne</w:t>
            </w:r>
          </w:p>
          <w:p w:rsidR="00000000" w:rsidRDefault="00EB04A8">
            <w:pPr>
              <w:pStyle w:val="Normlnywebov"/>
            </w:pPr>
            <w:r>
              <w:rPr>
                <w:color w:val="000000"/>
                <w:sz w:val="27"/>
                <w:szCs w:val="27"/>
              </w:rPr>
              <w:t xml:space="preserve">  R20 - </w:t>
            </w:r>
            <w:bookmarkStart w:id="16" w:name="_Toc446408316"/>
            <w:bookmarkEnd w:id="16"/>
            <w:r>
              <w:rPr>
                <w:color w:val="000000"/>
                <w:sz w:val="27"/>
                <w:szCs w:val="27"/>
              </w:rPr>
              <w:t>Nebudú včas zabezpečené potrebné výpočtové a ukladacie zdroje datacentra sa</w:t>
            </w:r>
            <w:r>
              <w:rPr>
                <w:color w:val="000000"/>
                <w:sz w:val="27"/>
                <w:szCs w:val="27"/>
              </w:rPr>
              <w:t>mosprávy</w:t>
            </w:r>
          </w:p>
          <w:p w:rsidR="00000000" w:rsidRDefault="00EB04A8">
            <w:pPr>
              <w:pStyle w:val="Normlnywebov"/>
            </w:pPr>
            <w:r>
              <w:rPr>
                <w:color w:val="000000"/>
                <w:sz w:val="27"/>
                <w:szCs w:val="27"/>
              </w:rPr>
              <w:t xml:space="preserve">  R21 - </w:t>
            </w:r>
            <w:bookmarkStart w:id="17" w:name="_Toc446408317"/>
            <w:bookmarkEnd w:id="17"/>
            <w:r>
              <w:rPr>
                <w:color w:val="000000"/>
                <w:sz w:val="27"/>
                <w:szCs w:val="27"/>
              </w:rPr>
              <w:t>ISO nebude dostatočne kompatibilné s IS DCOM </w:t>
            </w:r>
          </w:p>
          <w:p w:rsidR="00000000" w:rsidRDefault="00EB04A8">
            <w:pPr>
              <w:pStyle w:val="Normlnywebov"/>
            </w:pPr>
            <w:r>
              <w:rPr>
                <w:color w:val="000000"/>
                <w:sz w:val="27"/>
                <w:szCs w:val="27"/>
              </w:rPr>
              <w:t xml:space="preserve">  R22 - </w:t>
            </w:r>
            <w:bookmarkStart w:id="18" w:name="_Toc446408318"/>
            <w:bookmarkEnd w:id="18"/>
            <w:r>
              <w:rPr>
                <w:rFonts w:ascii="Arial Narrow" w:hAnsi="Arial Narrow"/>
                <w:color w:val="000000"/>
                <w:sz w:val="18"/>
                <w:szCs w:val="18"/>
              </w:rPr>
              <w:t>IS DCOM neposkytne obci/mestu špecifickú integráciu s relevantným IS VS</w:t>
            </w:r>
          </w:p>
        </w:tc>
        <w:tc>
          <w:tcPr>
            <w:tcW w:w="0" w:type="auto"/>
            <w:vAlign w:val="center"/>
            <w:hideMark/>
          </w:tcPr>
          <w:p w:rsidR="00000000" w:rsidRDefault="00EB04A8">
            <w:pPr>
              <w:rPr>
                <w:rFonts w:eastAsia="Times New Roman"/>
              </w:rPr>
            </w:pPr>
            <w:r>
              <w:rPr>
                <w:rFonts w:eastAsia="Times New Roman"/>
              </w:rPr>
              <w:t> </w:t>
            </w:r>
          </w:p>
        </w:tc>
      </w:tr>
      <w:tr w:rsidR="00000000">
        <w:trPr>
          <w:divId w:val="2048333391"/>
          <w:cantSplit/>
          <w:tblCellSpacing w:w="15" w:type="dxa"/>
        </w:trPr>
        <w:tc>
          <w:tcPr>
            <w:tcW w:w="0" w:type="auto"/>
            <w:vAlign w:val="center"/>
            <w:hideMark/>
          </w:tcPr>
          <w:p w:rsidR="00000000" w:rsidRDefault="00EB04A8">
            <w:pPr>
              <w:rPr>
                <w:rFonts w:eastAsia="Times New Roman"/>
              </w:rPr>
            </w:pPr>
            <w:r>
              <w:rPr>
                <w:rFonts w:eastAsia="Times New Roman"/>
              </w:rPr>
              <w:t> </w:t>
            </w:r>
          </w:p>
          <w:p w:rsidR="00000000" w:rsidRDefault="00EB04A8">
            <w:pPr>
              <w:pStyle w:val="Normlnywebov"/>
            </w:pPr>
            <w:r>
              <w:rPr>
                <w:rStyle w:val="Siln"/>
              </w:rPr>
              <w:t>Prílohy</w:t>
            </w:r>
          </w:p>
        </w:tc>
        <w:tc>
          <w:tcPr>
            <w:tcW w:w="0" w:type="auto"/>
            <w:vAlign w:val="center"/>
            <w:hideMark/>
          </w:tcPr>
          <w:p w:rsidR="00000000" w:rsidRDefault="00EB04A8">
            <w:pPr>
              <w:rPr>
                <w:rFonts w:eastAsia="Times New Roman"/>
              </w:rPr>
            </w:pPr>
            <w:r>
              <w:rPr>
                <w:rFonts w:eastAsia="Times New Roman"/>
              </w:rPr>
              <w:t> </w:t>
            </w:r>
          </w:p>
          <w:p w:rsidR="00000000" w:rsidRDefault="00EB04A8">
            <w:pPr>
              <w:pStyle w:val="Normlnywebov"/>
            </w:pPr>
            <w:r>
              <w:rPr>
                <w:rStyle w:val="Siln"/>
              </w:rPr>
              <w:t>Diagramy, modely, obrázky v plnom rozlíšení</w:t>
            </w:r>
          </w:p>
        </w:tc>
      </w:tr>
      <w:tr w:rsidR="00000000">
        <w:trPr>
          <w:divId w:val="2048333391"/>
          <w:cantSplit/>
          <w:tblCellSpacing w:w="15" w:type="dxa"/>
        </w:trPr>
        <w:tc>
          <w:tcPr>
            <w:tcW w:w="0" w:type="auto"/>
            <w:vAlign w:val="center"/>
            <w:hideMark/>
          </w:tcPr>
          <w:p w:rsidR="00000000" w:rsidRDefault="00EB04A8">
            <w:pPr>
              <w:pStyle w:val="Normlnywebov"/>
            </w:pPr>
            <w:r>
              <w:rPr>
                <w:rFonts w:ascii="Arial Narrow" w:hAnsi="Arial Narrow"/>
                <w:color w:val="000000"/>
              </w:rPr>
              <w:t>Tabuľka 2 Riziká</w:t>
            </w:r>
          </w:p>
          <w:p w:rsidR="00000000" w:rsidRDefault="00EB04A8">
            <w:pPr>
              <w:pStyle w:val="Normlnywebov"/>
            </w:pPr>
            <w:r>
              <w:rPr>
                <w:rFonts w:ascii="Arial Narrow" w:hAnsi="Arial Narrow"/>
                <w:color w:val="000000"/>
              </w:rPr>
              <w:t xml:space="preserve">Tabuľka 3 Kritéria kvality </w:t>
            </w:r>
          </w:p>
          <w:p w:rsidR="00000000" w:rsidRDefault="00EB04A8">
            <w:pPr>
              <w:pStyle w:val="Normlnywebov"/>
            </w:pPr>
            <w:r>
              <w:rPr>
                <w:rFonts w:ascii="Arial Narrow" w:hAnsi="Arial Narrow"/>
                <w:color w:val="000000"/>
              </w:rPr>
              <w:t>Tabuľka 19 Platforma</w:t>
            </w:r>
          </w:p>
          <w:p w:rsidR="00000000" w:rsidRDefault="00EB04A8">
            <w:pPr>
              <w:pStyle w:val="Normlnywebov"/>
            </w:pPr>
            <w:r>
              <w:rPr>
                <w:rFonts w:ascii="Arial Narrow" w:hAnsi="Arial Narrow"/>
                <w:color w:val="000000"/>
              </w:rPr>
              <w:t>Tabuľka 21 Platformový softvér</w:t>
            </w:r>
          </w:p>
          <w:p w:rsidR="00000000" w:rsidRDefault="00EB04A8">
            <w:pPr>
              <w:pStyle w:val="Normlnywebov"/>
            </w:pPr>
            <w:r>
              <w:rPr>
                <w:rFonts w:ascii="Arial Narrow" w:hAnsi="Arial Narrow"/>
                <w:color w:val="000000"/>
              </w:rPr>
              <w:t>Tabuľka 22 Výpočtové zdroje</w:t>
            </w:r>
          </w:p>
          <w:p w:rsidR="00000000" w:rsidRDefault="00EB04A8">
            <w:pPr>
              <w:pStyle w:val="Normlnywebov"/>
            </w:pPr>
            <w:r>
              <w:rPr>
                <w:rFonts w:ascii="Arial Narrow" w:hAnsi="Arial Narrow"/>
                <w:color w:val="000000"/>
              </w:rPr>
              <w:t>Tabuľka 23 Úložiská údajov</w:t>
            </w:r>
          </w:p>
          <w:p w:rsidR="00000000" w:rsidRDefault="00EB04A8">
            <w:pPr>
              <w:pStyle w:val="Normlnywebov"/>
            </w:pPr>
            <w:r>
              <w:rPr>
                <w:rFonts w:ascii="Arial Narrow" w:hAnsi="Arial Narrow"/>
                <w:color w:val="000000"/>
              </w:rPr>
              <w:t> Tabuľka 24 Zálohovanie</w:t>
            </w:r>
          </w:p>
          <w:p w:rsidR="00000000" w:rsidRDefault="00EB04A8">
            <w:pPr>
              <w:pStyle w:val="Normlnywebov"/>
            </w:pPr>
            <w:r>
              <w:rPr>
                <w:rFonts w:ascii="Arial Narrow" w:hAnsi="Arial Narrow"/>
                <w:color w:val="000000"/>
              </w:rPr>
              <w:t> Tabuľka 25 Komunikačná infraštruktúra</w:t>
            </w:r>
          </w:p>
          <w:p w:rsidR="00000000" w:rsidRDefault="00EB04A8">
            <w:pPr>
              <w:pStyle w:val="Normlnywebov"/>
            </w:pPr>
            <w:r>
              <w:rPr>
                <w:rFonts w:ascii="Arial Narrow" w:hAnsi="Arial Narrow"/>
                <w:color w:val="000000"/>
              </w:rPr>
              <w:t>Tabuľka 26 Špeciálne technológie</w:t>
            </w:r>
          </w:p>
          <w:p w:rsidR="00000000" w:rsidRDefault="00EB04A8">
            <w:pPr>
              <w:pStyle w:val="Normlnywebov"/>
            </w:pPr>
            <w:r>
              <w:rPr>
                <w:rFonts w:ascii="Arial Narrow" w:hAnsi="Arial Narrow"/>
                <w:color w:val="000000"/>
              </w:rPr>
              <w:t> Tabuľka 27 Dátové centrum – sála</w:t>
            </w:r>
          </w:p>
          <w:p w:rsidR="00000000" w:rsidRDefault="00EB04A8">
            <w:pPr>
              <w:pStyle w:val="Normlnywebov"/>
            </w:pPr>
            <w:r>
              <w:rPr>
                <w:rFonts w:ascii="Arial Narrow" w:hAnsi="Arial Narrow"/>
                <w:color w:val="000000"/>
              </w:rPr>
              <w:t xml:space="preserve">SAMOSTATNÁ PRÍLOHA </w:t>
            </w:r>
            <w:r>
              <w:rPr>
                <w:rFonts w:ascii="Arial Narrow" w:hAnsi="Arial Narrow"/>
                <w:color w:val="000000"/>
              </w:rPr>
              <w:t xml:space="preserve">- Špecifikácia požiadaviek na predmet zákazky </w:t>
            </w:r>
          </w:p>
        </w:tc>
        <w:tc>
          <w:tcPr>
            <w:tcW w:w="0" w:type="auto"/>
            <w:vAlign w:val="center"/>
            <w:hideMark/>
          </w:tcPr>
          <w:p w:rsidR="00000000" w:rsidRDefault="00EB04A8">
            <w:pPr>
              <w:pStyle w:val="Normlnywebov"/>
            </w:pPr>
            <w:r>
              <w:rPr>
                <w:rStyle w:val="Zvraznenie"/>
              </w:rPr>
              <w:t>Odkazy na relevantné súbory. Prílohy obsahujú informácie vo forme modelov.</w:t>
            </w:r>
          </w:p>
        </w:tc>
      </w:tr>
    </w:tbl>
    <w:p w:rsidR="00000000" w:rsidRDefault="00EB04A8">
      <w:pPr>
        <w:pStyle w:val="Nadpis4"/>
        <w:rPr>
          <w:rFonts w:eastAsia="Times New Roman"/>
        </w:rPr>
      </w:pPr>
      <w:r>
        <w:rPr>
          <w:rFonts w:eastAsia="Times New Roman"/>
        </w:rPr>
        <w:t>2.4.2.4. Implementácia a migrácia</w:t>
      </w:r>
    </w:p>
    <w:p w:rsidR="00000000" w:rsidRDefault="00EB04A8">
      <w:pPr>
        <w:pStyle w:val="Normlnywebov"/>
      </w:pPr>
      <w:r>
        <w:rPr>
          <w:rStyle w:val="Zvraznenie"/>
        </w:rPr>
        <w:t>Tabuľka 14 Implementácia a migrácia</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5367"/>
        <w:gridCol w:w="3993"/>
      </w:tblGrid>
      <w:tr w:rsidR="00000000">
        <w:trPr>
          <w:divId w:val="21786016"/>
          <w:cantSplit/>
          <w:tblCellSpacing w:w="15" w:type="dxa"/>
        </w:trPr>
        <w:tc>
          <w:tcPr>
            <w:tcW w:w="0" w:type="auto"/>
            <w:gridSpan w:val="2"/>
            <w:vAlign w:val="center"/>
            <w:hideMark/>
          </w:tcPr>
          <w:p w:rsidR="00000000" w:rsidRDefault="00EB04A8">
            <w:pPr>
              <w:pStyle w:val="Normlnywebov"/>
            </w:pPr>
            <w:r>
              <w:rPr>
                <w:rStyle w:val="Siln"/>
              </w:rPr>
              <w:t>Súhrnný popis</w:t>
            </w:r>
          </w:p>
        </w:tc>
      </w:tr>
      <w:tr w:rsidR="00000000">
        <w:trPr>
          <w:divId w:val="21786016"/>
          <w:cantSplit/>
          <w:tblCellSpacing w:w="15" w:type="dxa"/>
        </w:trPr>
        <w:tc>
          <w:tcPr>
            <w:tcW w:w="0" w:type="auto"/>
            <w:gridSpan w:val="2"/>
            <w:vAlign w:val="center"/>
            <w:hideMark/>
          </w:tcPr>
          <w:p w:rsidR="00000000" w:rsidRDefault="00EB04A8">
            <w:pPr>
              <w:pStyle w:val="Normlnywebov"/>
            </w:pPr>
            <w:r>
              <w:t>Rozhodujúcou aktivitou navrhovaného projektu sú služby súvisiace s pripojením plánovaných 1073 miest a obcí do IS DCOM bežiacom vo vládnom cloude. Pripojenie obce alebo mesta je rozdelené na dve etapy:</w:t>
            </w:r>
          </w:p>
          <w:p w:rsidR="00000000" w:rsidRDefault="00EB04A8">
            <w:pPr>
              <w:numPr>
                <w:ilvl w:val="0"/>
                <w:numId w:val="29"/>
              </w:numPr>
              <w:spacing w:before="100" w:beforeAutospacing="1" w:after="100" w:afterAutospacing="1"/>
              <w:rPr>
                <w:rFonts w:eastAsia="Times New Roman"/>
              </w:rPr>
            </w:pPr>
            <w:r>
              <w:rPr>
                <w:rFonts w:eastAsia="Times New Roman"/>
              </w:rPr>
              <w:t>Technická migrácia, ktorej cieľom z pohľadu obce je mi</w:t>
            </w:r>
            <w:r>
              <w:rPr>
                <w:rFonts w:eastAsia="Times New Roman"/>
              </w:rPr>
              <w:t>grácia ISO a lokálnych údajov na DCOM PC/notebook</w:t>
            </w:r>
          </w:p>
          <w:p w:rsidR="00000000" w:rsidRDefault="00EB04A8">
            <w:pPr>
              <w:numPr>
                <w:ilvl w:val="0"/>
                <w:numId w:val="29"/>
              </w:numPr>
              <w:spacing w:before="100" w:beforeAutospacing="1" w:after="100" w:afterAutospacing="1"/>
              <w:rPr>
                <w:rFonts w:eastAsia="Times New Roman"/>
              </w:rPr>
            </w:pPr>
            <w:r>
              <w:rPr>
                <w:rFonts w:eastAsia="Times New Roman"/>
              </w:rPr>
              <w:t>Migrácia údajov a preklopenie obce do plnej prevádzky. Výsledkom tejto etapy je úplné využívanie všetkých zdieľaných služieb IS DCOM obcou.</w:t>
            </w:r>
          </w:p>
          <w:p w:rsidR="00000000" w:rsidRDefault="00EB04A8">
            <w:pPr>
              <w:pStyle w:val="Normlnywebov"/>
            </w:pPr>
            <w:r>
              <w:t> </w:t>
            </w:r>
          </w:p>
          <w:p w:rsidR="00000000" w:rsidRDefault="00EB04A8">
            <w:pPr>
              <w:pStyle w:val="Normlnywebov"/>
            </w:pPr>
            <w:r>
              <w:t>Súčasťou technológií dodávaných obciam a mestám v rámci technick</w:t>
            </w:r>
            <w:r>
              <w:t>ej migrácie je aktívne sieťové zariadenie, ktoré umožňuje:</w:t>
            </w:r>
          </w:p>
          <w:p w:rsidR="00000000" w:rsidRDefault="00EB04A8">
            <w:pPr>
              <w:numPr>
                <w:ilvl w:val="0"/>
                <w:numId w:val="30"/>
              </w:numPr>
              <w:spacing w:before="100" w:beforeAutospacing="1" w:after="100" w:afterAutospacing="1"/>
              <w:rPr>
                <w:rFonts w:eastAsia="Times New Roman"/>
              </w:rPr>
            </w:pPr>
            <w:r>
              <w:rPr>
                <w:rFonts w:eastAsia="Times New Roman"/>
              </w:rPr>
              <w:t>alternatívne/záložné pripojenie obce do IS DCOM prostredníctvom siete Finnet4,</w:t>
            </w:r>
          </w:p>
          <w:p w:rsidR="00000000" w:rsidRDefault="00EB04A8">
            <w:pPr>
              <w:numPr>
                <w:ilvl w:val="0"/>
                <w:numId w:val="30"/>
              </w:numPr>
              <w:spacing w:before="100" w:beforeAutospacing="1" w:after="100" w:afterAutospacing="1"/>
              <w:rPr>
                <w:rFonts w:eastAsia="Times New Roman"/>
              </w:rPr>
            </w:pPr>
            <w:r>
              <w:rPr>
                <w:rFonts w:eastAsia="Times New Roman"/>
              </w:rPr>
              <w:t>možnosť konfigurácie pripojenia site-to-site VPN medzi obcou a IS DCOM,</w:t>
            </w:r>
          </w:p>
          <w:p w:rsidR="00000000" w:rsidRDefault="00EB04A8">
            <w:pPr>
              <w:numPr>
                <w:ilvl w:val="0"/>
                <w:numId w:val="30"/>
              </w:numPr>
              <w:spacing w:before="100" w:beforeAutospacing="1" w:after="100" w:afterAutospacing="1"/>
              <w:rPr>
                <w:rFonts w:eastAsia="Times New Roman"/>
              </w:rPr>
            </w:pPr>
            <w:r>
              <w:rPr>
                <w:rFonts w:eastAsia="Times New Roman"/>
              </w:rPr>
              <w:t>bezpečný prístup k službám, ktoré nemôžu byť p</w:t>
            </w:r>
            <w:r>
              <w:rPr>
                <w:rFonts w:eastAsia="Times New Roman"/>
              </w:rPr>
              <w:t>ublikované cez internet, prostredníctvom siete Finnet4.</w:t>
            </w:r>
          </w:p>
          <w:p w:rsidR="00000000" w:rsidRDefault="00EB04A8">
            <w:pPr>
              <w:pStyle w:val="Normlnywebov"/>
            </w:pPr>
            <w:r>
              <w:t> </w:t>
            </w:r>
          </w:p>
          <w:p w:rsidR="00000000" w:rsidRDefault="00EB04A8">
            <w:pPr>
              <w:pStyle w:val="Normlnywebov"/>
            </w:pPr>
            <w:r>
              <w:t>Postup migrácie údajov a preklopenia do plnej prevádzky má nasledovné kroky:</w:t>
            </w:r>
          </w:p>
          <w:p w:rsidR="00000000" w:rsidRDefault="00EB04A8">
            <w:pPr>
              <w:numPr>
                <w:ilvl w:val="0"/>
                <w:numId w:val="31"/>
              </w:numPr>
              <w:spacing w:before="100" w:beforeAutospacing="1" w:after="100" w:afterAutospacing="1"/>
              <w:rPr>
                <w:rFonts w:eastAsia="Times New Roman"/>
              </w:rPr>
            </w:pPr>
            <w:r>
              <w:rPr>
                <w:rFonts w:eastAsia="Times New Roman"/>
              </w:rPr>
              <w:t>Zaškolenie pracovníkov obce na používanie IS DCOM</w:t>
            </w:r>
          </w:p>
          <w:p w:rsidR="00000000" w:rsidRDefault="00EB04A8">
            <w:pPr>
              <w:numPr>
                <w:ilvl w:val="0"/>
                <w:numId w:val="31"/>
              </w:numPr>
              <w:spacing w:before="100" w:beforeAutospacing="1" w:after="100" w:afterAutospacing="1"/>
              <w:rPr>
                <w:rFonts w:eastAsia="Times New Roman"/>
              </w:rPr>
            </w:pPr>
            <w:r>
              <w:rPr>
                <w:rFonts w:eastAsia="Times New Roman"/>
              </w:rPr>
              <w:t>Premigrovanie definovaných údajov obce z ISO do IS DCOM.</w:t>
            </w:r>
          </w:p>
          <w:p w:rsidR="00000000" w:rsidRDefault="00EB04A8">
            <w:pPr>
              <w:numPr>
                <w:ilvl w:val="0"/>
                <w:numId w:val="31"/>
              </w:numPr>
              <w:spacing w:before="100" w:beforeAutospacing="1" w:after="100" w:afterAutospacing="1"/>
              <w:rPr>
                <w:rFonts w:eastAsia="Times New Roman"/>
              </w:rPr>
            </w:pPr>
            <w:r>
              <w:rPr>
                <w:rFonts w:eastAsia="Times New Roman"/>
              </w:rPr>
              <w:t>Sprístupnenie integračných rozhraní IS DCOM pre pripojenie špecifických modulov informačného systému obce.</w:t>
            </w:r>
          </w:p>
          <w:p w:rsidR="00000000" w:rsidRDefault="00EB04A8">
            <w:pPr>
              <w:numPr>
                <w:ilvl w:val="0"/>
                <w:numId w:val="31"/>
              </w:numPr>
              <w:spacing w:before="100" w:beforeAutospacing="1" w:after="100" w:afterAutospacing="1"/>
              <w:rPr>
                <w:rFonts w:eastAsia="Times New Roman"/>
              </w:rPr>
            </w:pPr>
            <w:r>
              <w:rPr>
                <w:rFonts w:eastAsia="Times New Roman"/>
              </w:rPr>
              <w:t>Konsolidácia premigrovaných údajov evidencie osôb. Premigrované fyzické a právnické osoby z ISO do IS DCOM sa stotožnia s osobami v referenčných regi</w:t>
            </w:r>
            <w:r>
              <w:rPr>
                <w:rFonts w:eastAsia="Times New Roman"/>
              </w:rPr>
              <w:t>stroch. Túto aktivitu realizuje obec na základe konsolidačných návrhov získaných z registra fyzických osôb. DCOM bude činnosti spojené s konsolidáciou údajov plánovať v súčinnosti s poskytovateľmi príslušných údajov, aby proces stotožňovanie a opráv nenaru</w:t>
            </w:r>
            <w:r>
              <w:rPr>
                <w:rFonts w:eastAsia="Times New Roman"/>
              </w:rPr>
              <w:t>šil prevádzku príslušných registrov.</w:t>
            </w:r>
          </w:p>
          <w:p w:rsidR="00000000" w:rsidRDefault="00EB04A8">
            <w:pPr>
              <w:numPr>
                <w:ilvl w:val="0"/>
                <w:numId w:val="31"/>
              </w:numPr>
              <w:spacing w:before="100" w:beforeAutospacing="1" w:after="100" w:afterAutospacing="1"/>
              <w:rPr>
                <w:rFonts w:eastAsia="Times New Roman"/>
              </w:rPr>
            </w:pPr>
            <w:r>
              <w:rPr>
                <w:rFonts w:eastAsia="Times New Roman"/>
              </w:rPr>
              <w:t>Na strane obce sa musí zrealizovať dočistene zmigrovaných údajov, pretože IS DCOM kladie vysoké nároky na kvalitu údajov pre ich ďalšie spracovávanie. Úlohou obce je očistenie údajov tak, aby umožňovali plnohodnotnú prá</w:t>
            </w:r>
            <w:r>
              <w:rPr>
                <w:rFonts w:eastAsia="Times New Roman"/>
              </w:rPr>
              <w:t xml:space="preserve">cu v IS DCOM. Kvalita premigrovaných údajov je však limitovaná nasledovnými faktormi: </w:t>
            </w:r>
          </w:p>
          <w:p w:rsidR="00000000" w:rsidRDefault="00EB04A8">
            <w:pPr>
              <w:numPr>
                <w:ilvl w:val="1"/>
                <w:numId w:val="31"/>
              </w:numPr>
              <w:spacing w:before="100" w:beforeAutospacing="1" w:after="100" w:afterAutospacing="1"/>
              <w:rPr>
                <w:rFonts w:eastAsia="Times New Roman"/>
              </w:rPr>
            </w:pPr>
            <w:r>
              <w:rPr>
                <w:rFonts w:eastAsia="Times New Roman"/>
              </w:rPr>
              <w:t>Zhoda štruktúry evidencie údajov v pôvodnom ISO s IS DCOM.</w:t>
            </w:r>
          </w:p>
          <w:p w:rsidR="00000000" w:rsidRDefault="00EB04A8">
            <w:pPr>
              <w:numPr>
                <w:ilvl w:val="1"/>
                <w:numId w:val="31"/>
              </w:numPr>
              <w:spacing w:before="100" w:beforeAutospacing="1" w:after="100" w:afterAutospacing="1"/>
              <w:rPr>
                <w:rFonts w:eastAsia="Times New Roman"/>
              </w:rPr>
            </w:pPr>
            <w:r>
              <w:rPr>
                <w:rFonts w:eastAsia="Times New Roman"/>
              </w:rPr>
              <w:t>Dôslednosť evidencie údajov v ISO zo strany obce, pričom tam kde nebola pôvodným ISO nútená k dôslednej eviden</w:t>
            </w:r>
            <w:r>
              <w:rPr>
                <w:rFonts w:eastAsia="Times New Roman"/>
              </w:rPr>
              <w:t>cii, tam nie je garantovaná požadovaná kvalita údajov.</w:t>
            </w:r>
          </w:p>
          <w:p w:rsidR="00000000" w:rsidRDefault="00EB04A8">
            <w:pPr>
              <w:numPr>
                <w:ilvl w:val="1"/>
                <w:numId w:val="31"/>
              </w:numPr>
              <w:spacing w:before="100" w:beforeAutospacing="1" w:after="100" w:afterAutospacing="1"/>
              <w:rPr>
                <w:rFonts w:eastAsia="Times New Roman"/>
              </w:rPr>
            </w:pPr>
            <w:r>
              <w:rPr>
                <w:rFonts w:eastAsia="Times New Roman"/>
              </w:rPr>
              <w:t>Historické údaje v pôvodnom ISO systéme získané predchádzajúcimi historickými migráciami majú všeobecne nižšiu kvalitu údajov.</w:t>
            </w:r>
          </w:p>
          <w:p w:rsidR="00000000" w:rsidRDefault="00EB04A8">
            <w:pPr>
              <w:pStyle w:val="Normlnywebov"/>
            </w:pPr>
            <w:r>
              <w:t> </w:t>
            </w:r>
          </w:p>
          <w:p w:rsidR="00000000" w:rsidRDefault="00EB04A8">
            <w:pPr>
              <w:pStyle w:val="Normlnywebov"/>
            </w:pPr>
            <w:r>
              <w:t>Okrem vyššie uvedených aktivít bude potrebné navrhnúť a realizovať robus</w:t>
            </w:r>
            <w:r>
              <w:t>tnejšiu architektúru centrálneho riešenia, lebo pôvodná verzia bola dimenzovaná na zhruba 8000 používateľov. Plošné rozšírenie môže tento počet až zdvojnásobiť. Pôjde o nasledovné aktivity:</w:t>
            </w:r>
          </w:p>
          <w:p w:rsidR="00000000" w:rsidRDefault="00EB04A8">
            <w:pPr>
              <w:numPr>
                <w:ilvl w:val="0"/>
                <w:numId w:val="32"/>
              </w:numPr>
              <w:spacing w:before="100" w:beforeAutospacing="1" w:after="100" w:afterAutospacing="1"/>
              <w:rPr>
                <w:rFonts w:eastAsia="Times New Roman"/>
              </w:rPr>
            </w:pPr>
            <w:r>
              <w:rPr>
                <w:rFonts w:eastAsia="Times New Roman"/>
              </w:rPr>
              <w:t>Zvýšenie priepustnosti centrálnej databázy</w:t>
            </w:r>
          </w:p>
          <w:p w:rsidR="00000000" w:rsidRDefault="00EB04A8">
            <w:pPr>
              <w:numPr>
                <w:ilvl w:val="0"/>
                <w:numId w:val="32"/>
              </w:numPr>
              <w:spacing w:before="100" w:beforeAutospacing="1" w:after="100" w:afterAutospacing="1"/>
              <w:rPr>
                <w:rFonts w:eastAsia="Times New Roman"/>
              </w:rPr>
            </w:pPr>
            <w:r>
              <w:rPr>
                <w:rFonts w:eastAsia="Times New Roman"/>
              </w:rPr>
              <w:t>Automatizované monitoro</w:t>
            </w:r>
            <w:r>
              <w:rPr>
                <w:rFonts w:eastAsia="Times New Roman"/>
              </w:rPr>
              <w:t>vanie koncových zariadení</w:t>
            </w:r>
          </w:p>
          <w:p w:rsidR="00000000" w:rsidRDefault="00EB04A8">
            <w:pPr>
              <w:numPr>
                <w:ilvl w:val="0"/>
                <w:numId w:val="32"/>
              </w:numPr>
              <w:spacing w:before="100" w:beforeAutospacing="1" w:after="100" w:afterAutospacing="1"/>
              <w:rPr>
                <w:rFonts w:eastAsia="Times New Roman"/>
              </w:rPr>
            </w:pPr>
            <w:r>
              <w:rPr>
                <w:rFonts w:eastAsia="Times New Roman"/>
              </w:rPr>
              <w:t>Viacúrovňové distribuované zálohovanie údajov</w:t>
            </w:r>
          </w:p>
          <w:p w:rsidR="00000000" w:rsidRDefault="00EB04A8">
            <w:pPr>
              <w:pStyle w:val="Normlnywebov"/>
            </w:pPr>
            <w:r>
              <w:t>Pre obce bude migrácia údajov a ich preklopenie do plnej prevádzky výraznou zmenou, ktorá si vyžaduje veľa pozornosti a času. Aby táto zmena bola úspešne realizovateľná, vyžaduje si zv</w:t>
            </w:r>
            <w:r>
              <w:t>ýšenú metodickú a technickú podporu zo strany prevádzkovateľa IS DCOM.</w:t>
            </w:r>
          </w:p>
          <w:p w:rsidR="00000000" w:rsidRDefault="00EB04A8">
            <w:pPr>
              <w:pStyle w:val="Normlnywebov"/>
            </w:pPr>
            <w:r>
              <w:rPr>
                <w:rStyle w:val="Zvraznenie"/>
              </w:rPr>
              <w:t>Špecifikom pripájania obcí do DCOM je nutnosť jednotlivo identifikovať súčasný stav IT na obci a nastavenie procesu migrácie na konkrétne podmienky. Výsledkom tejto analýzy je na jednej</w:t>
            </w:r>
            <w:r>
              <w:rPr>
                <w:rStyle w:val="Zvraznenie"/>
              </w:rPr>
              <w:t xml:space="preserve"> strane identifikácia potreby IT technológií na danej obci, na druhej strane však aj identifikácia množstva, formátu a kvality údajov, ktoré musia byť do prostredia DCOM prenesené. Preto projekt plošného rozšírenia je čiastočne otvorený, konzumovanie zdroj</w:t>
            </w:r>
            <w:r>
              <w:rPr>
                <w:rStyle w:val="Zvraznenie"/>
              </w:rPr>
              <w:t>ov na jednotlivých obciach sa bude líšiť. To je nevyhnuté premietnuť do obstarania týchto zdrojov napríklad formou vytvorenia rámca, z ktorého sa bude čerpať podľa skutočnej potreby.</w:t>
            </w:r>
          </w:p>
          <w:p w:rsidR="00000000" w:rsidRDefault="00EB04A8">
            <w:pPr>
              <w:pStyle w:val="Normlnywebov"/>
            </w:pPr>
            <w:r>
              <w:t>Nezanedbateľnou výhodou predloženého projektu je v čiastočnom využívaní u</w:t>
            </w:r>
            <w:r>
              <w:t>ž vynaložených investícií, čo v konečnom dôsledku znižuje TCO na celé riešenie.</w:t>
            </w:r>
          </w:p>
          <w:p w:rsidR="00000000" w:rsidRDefault="00EB04A8">
            <w:pPr>
              <w:pStyle w:val="Normlnywebov"/>
            </w:pPr>
            <w:r>
              <w:t>Pre pripojenie a migráciu každej väčšej obce (uvažujeme cca 64 obcí) bude potrebné vykonať samostatnú čiastkovú analýzu a navrhnúť realizáciu pripojenia na DCOM, a migrácie úda</w:t>
            </w:r>
            <w:r>
              <w:t>jov. Migrácie budú špecifické pre každú obec a budú realizované priebežne podľa kapacity implementačných tímov. Tento mechanizmus dáva aj priestor obciam na rozhodovanie.</w:t>
            </w:r>
          </w:p>
          <w:p w:rsidR="00000000" w:rsidRDefault="00EB04A8">
            <w:pPr>
              <w:pStyle w:val="Normlnywebov"/>
            </w:pPr>
            <w:r>
              <w:t>Výsledkom projektu bude, že zapojené obce automaticky získajú integrácie na UPVS a vš</w:t>
            </w:r>
            <w:r>
              <w:t>etky IS povinných osôb, ktoré poskytovanie eSlužieb vyžaduje.</w:t>
            </w:r>
          </w:p>
          <w:p w:rsidR="00000000" w:rsidRDefault="00EB04A8">
            <w:pPr>
              <w:pStyle w:val="Normlnywebov"/>
            </w:pPr>
            <w:r>
              <w:rPr>
                <w:rStyle w:val="inline-comment-marker"/>
                <w:i/>
                <w:iCs/>
              </w:rPr>
              <w:t>Celkové trvanie realizácie projektu je nastavené na 36 mesiacov. Nasledujúci obrázok obsahuje rámcový plán hlavných a podporných projektových aktiví</w:t>
            </w:r>
            <w:r>
              <w:rPr>
                <w:rStyle w:val="inline-comment-marker"/>
                <w:i/>
                <w:iCs/>
              </w:rPr>
              <w:t>t</w:t>
            </w:r>
            <w:r>
              <w:rPr>
                <w:rStyle w:val="Zvraznenie"/>
              </w:rPr>
              <w:t>.  </w:t>
            </w:r>
          </w:p>
        </w:tc>
      </w:tr>
      <w:tr w:rsidR="00000000">
        <w:trPr>
          <w:divId w:val="21786016"/>
          <w:cantSplit/>
          <w:tblCellSpacing w:w="15" w:type="dxa"/>
        </w:trPr>
        <w:tc>
          <w:tcPr>
            <w:tcW w:w="0" w:type="auto"/>
            <w:gridSpan w:val="2"/>
            <w:vAlign w:val="center"/>
            <w:hideMark/>
          </w:tcPr>
          <w:p w:rsidR="00000000" w:rsidRDefault="00EB04A8">
            <w:pPr>
              <w:pStyle w:val="Normlnywebov"/>
            </w:pPr>
            <w:r>
              <w:t>Obrázok 16 Harmonogram projektu:</w:t>
            </w:r>
          </w:p>
          <w:p w:rsidR="00000000" w:rsidRDefault="00EB04A8">
            <w:pPr>
              <w:pStyle w:val="Normlnywebov"/>
            </w:pPr>
            <w:r>
              <w:rPr>
                <w:noProof/>
              </w:rPr>
              <w:drawing>
                <wp:inline distT="0" distB="0" distL="0" distR="0">
                  <wp:extent cx="4457700" cy="1737360"/>
                  <wp:effectExtent l="0" t="0" r="0" b="0"/>
                  <wp:docPr id="17" name="Obrázok 17" descr="C:\ebb40ef0acac2ab23f556aeb68a8f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ebb40ef0acac2ab23f556aeb68a8f94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57700" cy="1737360"/>
                          </a:xfrm>
                          <a:prstGeom prst="rect">
                            <a:avLst/>
                          </a:prstGeom>
                          <a:noFill/>
                          <a:ln>
                            <a:noFill/>
                          </a:ln>
                        </pic:spPr>
                      </pic:pic>
                    </a:graphicData>
                  </a:graphic>
                </wp:inline>
              </w:drawing>
            </w:r>
          </w:p>
        </w:tc>
      </w:tr>
      <w:tr w:rsidR="00000000">
        <w:trPr>
          <w:divId w:val="21786016"/>
          <w:cantSplit/>
          <w:tblCellSpacing w:w="15" w:type="dxa"/>
        </w:trPr>
        <w:tc>
          <w:tcPr>
            <w:tcW w:w="0" w:type="auto"/>
            <w:gridSpan w:val="2"/>
            <w:vAlign w:val="center"/>
            <w:hideMark/>
          </w:tcPr>
          <w:p w:rsidR="00000000" w:rsidRDefault="00EB04A8">
            <w:pPr>
              <w:pStyle w:val="Normlnywebov"/>
            </w:pPr>
            <w:r>
              <w:rPr>
                <w:rStyle w:val="inline-comment-marker"/>
              </w:rPr>
              <w:t>Definované aktivit</w:t>
            </w:r>
            <w:r>
              <w:rPr>
                <w:rStyle w:val="inline-comment-marker"/>
              </w:rPr>
              <w:t>y</w:t>
            </w:r>
            <w:r>
              <w:t xml:space="preserve"> sú relevantné pre projekt DCOM+. V rámci projektu sa nerealizujú integrácie na iný I</w:t>
            </w:r>
            <w:r>
              <w:t>SVS, nakoľko ide primárne o infraštruktúrny projekt, ktorý zabezpečuje nasadenie už zrealizovaného systému.</w:t>
            </w:r>
          </w:p>
          <w:p w:rsidR="00000000" w:rsidRDefault="00EB04A8">
            <w:pPr>
              <w:pStyle w:val="Normlnywebov"/>
            </w:pPr>
            <w:r>
              <w:t>Harmonogram projektu je vnútorne súladný, aktivity sú logicky nadväzujúce a nastavené realisticky z hľadiska ich trvania a z hľadiska dosiahnutia ci</w:t>
            </w:r>
            <w:r>
              <w:t>eľov a výstupov projektu.</w:t>
            </w:r>
          </w:p>
          <w:p w:rsidR="00000000" w:rsidRDefault="00EB04A8">
            <w:pPr>
              <w:pStyle w:val="Normlnywebov"/>
            </w:pPr>
            <w:r>
              <w:rPr>
                <w:rStyle w:val="inline-comment-marker"/>
                <w:b/>
                <w:bCs/>
              </w:rPr>
              <w:t>Podporné aktivity projekt</w:t>
            </w:r>
            <w:r>
              <w:rPr>
                <w:rStyle w:val="inline-comment-marker"/>
                <w:b/>
                <w:bCs/>
              </w:rPr>
              <w:t>u</w:t>
            </w:r>
            <w:r>
              <w:rPr>
                <w:rStyle w:val="Siln"/>
              </w:rPr>
              <w:t>:</w:t>
            </w:r>
          </w:p>
          <w:p w:rsidR="00000000" w:rsidRDefault="00EB04A8">
            <w:pPr>
              <w:pStyle w:val="Normlnywebov"/>
            </w:pPr>
            <w:r>
              <w:t>V rámci projektu budú realizované aj štandardné podporné aktivity v rozsahu:</w:t>
            </w:r>
          </w:p>
          <w:p w:rsidR="00000000" w:rsidRDefault="00EB04A8">
            <w:pPr>
              <w:pStyle w:val="Normlnywebov"/>
            </w:pPr>
            <w:r>
              <w:t>1)        Riadenie projektu 160 000 € s DPH.</w:t>
            </w:r>
          </w:p>
          <w:p w:rsidR="00000000" w:rsidRDefault="00EB04A8">
            <w:pPr>
              <w:pStyle w:val="Normlnywebov"/>
            </w:pPr>
            <w:r>
              <w:t>2)        Publicita a informovanosť 150 000 € s DPH. </w:t>
            </w:r>
          </w:p>
        </w:tc>
      </w:tr>
      <w:tr w:rsidR="00000000">
        <w:trPr>
          <w:divId w:val="21786016"/>
          <w:cantSplit/>
          <w:tblCellSpacing w:w="15" w:type="dxa"/>
        </w:trPr>
        <w:tc>
          <w:tcPr>
            <w:tcW w:w="0" w:type="auto"/>
            <w:vAlign w:val="center"/>
            <w:hideMark/>
          </w:tcPr>
          <w:p w:rsidR="00000000" w:rsidRDefault="00EB04A8">
            <w:pPr>
              <w:rPr>
                <w:rFonts w:eastAsia="Times New Roman"/>
              </w:rPr>
            </w:pPr>
            <w:r>
              <w:rPr>
                <w:rFonts w:eastAsia="Times New Roman"/>
              </w:rPr>
              <w:t> </w:t>
            </w:r>
          </w:p>
          <w:p w:rsidR="00000000" w:rsidRDefault="00EB04A8">
            <w:pPr>
              <w:pStyle w:val="Normlnywebov"/>
            </w:pPr>
            <w:r>
              <w:rPr>
                <w:rStyle w:val="Siln"/>
              </w:rPr>
              <w:t>Kritéria kvality</w:t>
            </w:r>
          </w:p>
        </w:tc>
        <w:tc>
          <w:tcPr>
            <w:tcW w:w="0" w:type="auto"/>
            <w:vAlign w:val="center"/>
            <w:hideMark/>
          </w:tcPr>
          <w:p w:rsidR="00000000" w:rsidRDefault="00EB04A8">
            <w:pPr>
              <w:rPr>
                <w:rFonts w:eastAsia="Times New Roman"/>
              </w:rPr>
            </w:pPr>
            <w:r>
              <w:rPr>
                <w:rFonts w:eastAsia="Times New Roman"/>
              </w:rPr>
              <w:t> </w:t>
            </w:r>
          </w:p>
          <w:p w:rsidR="00000000" w:rsidRDefault="00EB04A8">
            <w:pPr>
              <w:pStyle w:val="Normlnywebov"/>
            </w:pPr>
            <w:r>
              <w:rPr>
                <w:rStyle w:val="Siln"/>
              </w:rPr>
              <w:t>Spr</w:t>
            </w:r>
            <w:r>
              <w:rPr>
                <w:rStyle w:val="Siln"/>
              </w:rPr>
              <w:t>esnenie kritéria kvality: Odkazy na relevantné identifikátory kritérií kvality v prílohe, Kritéria kvality.</w:t>
            </w:r>
          </w:p>
        </w:tc>
      </w:tr>
      <w:tr w:rsidR="00000000">
        <w:trPr>
          <w:divId w:val="21786016"/>
          <w:cantSplit/>
          <w:tblCellSpacing w:w="15" w:type="dxa"/>
        </w:trPr>
        <w:tc>
          <w:tcPr>
            <w:tcW w:w="0" w:type="auto"/>
            <w:vAlign w:val="center"/>
            <w:hideMark/>
          </w:tcPr>
          <w:p w:rsidR="00000000" w:rsidRDefault="00EB04A8">
            <w:pPr>
              <w:pStyle w:val="Normlnywebov"/>
            </w:pPr>
            <w:r>
              <w:t xml:space="preserve"> Q10 - </w:t>
            </w:r>
            <w:bookmarkStart w:id="19" w:name="_Toc446408288"/>
            <w:bookmarkEnd w:id="19"/>
            <w:r>
              <w:rPr>
                <w:color w:val="000000"/>
                <w:sz w:val="27"/>
                <w:szCs w:val="27"/>
              </w:rPr>
              <w:t>Bude prostredníctvom realizácie aktivít projektu zabezpečené dosiahnutie relevantných merateľných ukazovateľov?</w:t>
            </w:r>
          </w:p>
          <w:p w:rsidR="00000000" w:rsidRDefault="00EB04A8">
            <w:pPr>
              <w:pStyle w:val="Normlnywebov"/>
            </w:pPr>
            <w:r>
              <w:t xml:space="preserve">Q11 - </w:t>
            </w:r>
            <w:bookmarkStart w:id="20" w:name="_Toc446408289"/>
            <w:bookmarkEnd w:id="20"/>
            <w:r>
              <w:rPr>
                <w:rFonts w:ascii="Arial Narrow" w:hAnsi="Arial Narrow"/>
                <w:color w:val="000000"/>
                <w:sz w:val="18"/>
                <w:szCs w:val="18"/>
              </w:rPr>
              <w:t>Je navrhovaný časový h</w:t>
            </w:r>
            <w:r>
              <w:rPr>
                <w:rFonts w:ascii="Arial Narrow" w:hAnsi="Arial Narrow"/>
                <w:color w:val="000000"/>
                <w:sz w:val="18"/>
                <w:szCs w:val="18"/>
              </w:rPr>
              <w:t>armonogram projektu reálny a umožní dosiahnutie stanovených cieľov projektu?</w:t>
            </w:r>
          </w:p>
        </w:tc>
        <w:tc>
          <w:tcPr>
            <w:tcW w:w="0" w:type="auto"/>
            <w:vAlign w:val="center"/>
            <w:hideMark/>
          </w:tcPr>
          <w:p w:rsidR="00000000" w:rsidRDefault="00EB04A8">
            <w:pPr>
              <w:rPr>
                <w:rFonts w:eastAsia="Times New Roman"/>
              </w:rPr>
            </w:pPr>
            <w:r>
              <w:rPr>
                <w:rFonts w:eastAsia="Times New Roman"/>
              </w:rPr>
              <w:t> </w:t>
            </w:r>
          </w:p>
        </w:tc>
      </w:tr>
      <w:tr w:rsidR="00000000">
        <w:trPr>
          <w:divId w:val="21786016"/>
          <w:cantSplit/>
          <w:tblCellSpacing w:w="15" w:type="dxa"/>
        </w:trPr>
        <w:tc>
          <w:tcPr>
            <w:tcW w:w="0" w:type="auto"/>
            <w:vAlign w:val="center"/>
            <w:hideMark/>
          </w:tcPr>
          <w:p w:rsidR="00000000" w:rsidRDefault="00EB04A8">
            <w:pPr>
              <w:rPr>
                <w:rFonts w:eastAsia="Times New Roman"/>
              </w:rPr>
            </w:pPr>
            <w:r>
              <w:rPr>
                <w:rFonts w:eastAsia="Times New Roman"/>
              </w:rPr>
              <w:t> </w:t>
            </w:r>
          </w:p>
          <w:p w:rsidR="00000000" w:rsidRDefault="00EB04A8">
            <w:pPr>
              <w:pStyle w:val="Normlnywebov"/>
            </w:pPr>
            <w:r>
              <w:rPr>
                <w:rStyle w:val="Siln"/>
              </w:rPr>
              <w:t>Riziká</w:t>
            </w:r>
          </w:p>
        </w:tc>
        <w:tc>
          <w:tcPr>
            <w:tcW w:w="0" w:type="auto"/>
            <w:vAlign w:val="center"/>
            <w:hideMark/>
          </w:tcPr>
          <w:p w:rsidR="00000000" w:rsidRDefault="00EB04A8">
            <w:pPr>
              <w:rPr>
                <w:rFonts w:eastAsia="Times New Roman"/>
              </w:rPr>
            </w:pPr>
            <w:r>
              <w:rPr>
                <w:rFonts w:eastAsia="Times New Roman"/>
              </w:rPr>
              <w:t> </w:t>
            </w:r>
          </w:p>
          <w:p w:rsidR="00000000" w:rsidRDefault="00EB04A8">
            <w:pPr>
              <w:pStyle w:val="Normlnywebov"/>
            </w:pPr>
            <w:r>
              <w:rPr>
                <w:rStyle w:val="Siln"/>
              </w:rPr>
              <w:t>Spresnenie identifikovaných rizík: Odkazy na relevantné identifikátory rizík v prílohe Riziká</w:t>
            </w:r>
          </w:p>
        </w:tc>
      </w:tr>
      <w:tr w:rsidR="00000000">
        <w:trPr>
          <w:divId w:val="21786016"/>
          <w:cantSplit/>
          <w:tblCellSpacing w:w="15" w:type="dxa"/>
        </w:trPr>
        <w:tc>
          <w:tcPr>
            <w:tcW w:w="0" w:type="auto"/>
            <w:vAlign w:val="center"/>
            <w:hideMark/>
          </w:tcPr>
          <w:p w:rsidR="00000000" w:rsidRDefault="00EB04A8">
            <w:pPr>
              <w:pStyle w:val="Normlnywebov"/>
            </w:pPr>
            <w:r>
              <w:t> </w:t>
            </w:r>
            <w:r>
              <w:rPr>
                <w:color w:val="000000"/>
                <w:sz w:val="27"/>
                <w:szCs w:val="27"/>
              </w:rPr>
              <w:t xml:space="preserve"> R 23 - </w:t>
            </w:r>
            <w:bookmarkStart w:id="21" w:name="_Toc446408319"/>
            <w:bookmarkEnd w:id="21"/>
            <w:r>
              <w:rPr>
                <w:color w:val="000000"/>
                <w:sz w:val="27"/>
                <w:szCs w:val="27"/>
              </w:rPr>
              <w:t>Implementačný tím nebude mať dostatočnú kapacitu, vedomosti a schopnosti </w:t>
            </w:r>
          </w:p>
          <w:p w:rsidR="00000000" w:rsidRDefault="00EB04A8">
            <w:pPr>
              <w:pStyle w:val="Normlnywebov"/>
            </w:pPr>
            <w:r>
              <w:rPr>
                <w:color w:val="000000"/>
                <w:sz w:val="27"/>
                <w:szCs w:val="27"/>
              </w:rPr>
              <w:t xml:space="preserve">  R24 - </w:t>
            </w:r>
            <w:bookmarkStart w:id="22" w:name="_Toc446408320"/>
            <w:bookmarkEnd w:id="22"/>
            <w:r>
              <w:rPr>
                <w:color w:val="000000"/>
                <w:sz w:val="27"/>
                <w:szCs w:val="27"/>
              </w:rPr>
              <w:t>Zapájanie a migrácia údajov obce/mesta do IS DCOM nebude realizované v požadovanom termíne </w:t>
            </w:r>
          </w:p>
          <w:p w:rsidR="00000000" w:rsidRDefault="00EB04A8">
            <w:pPr>
              <w:pStyle w:val="Normlnywebov"/>
            </w:pPr>
            <w:r>
              <w:rPr>
                <w:color w:val="000000"/>
                <w:sz w:val="27"/>
                <w:szCs w:val="27"/>
              </w:rPr>
              <w:t xml:space="preserve">  R25 - </w:t>
            </w:r>
            <w:bookmarkStart w:id="23" w:name="_Toc446408321"/>
            <w:bookmarkEnd w:id="23"/>
            <w:r>
              <w:rPr>
                <w:rFonts w:ascii="Arial Narrow" w:hAnsi="Arial Narrow"/>
                <w:color w:val="000000"/>
                <w:sz w:val="18"/>
                <w:szCs w:val="18"/>
              </w:rPr>
              <w:t>Zamestnanci obcí a </w:t>
            </w:r>
            <w:r>
              <w:rPr>
                <w:rFonts w:ascii="Arial Narrow" w:hAnsi="Arial Narrow"/>
                <w:color w:val="000000"/>
                <w:sz w:val="18"/>
                <w:szCs w:val="18"/>
              </w:rPr>
              <w:t>miest budú mať problémy pri používaní nových technológií</w:t>
            </w:r>
          </w:p>
        </w:tc>
        <w:tc>
          <w:tcPr>
            <w:tcW w:w="0" w:type="auto"/>
            <w:vAlign w:val="center"/>
            <w:hideMark/>
          </w:tcPr>
          <w:p w:rsidR="00000000" w:rsidRDefault="00EB04A8">
            <w:pPr>
              <w:rPr>
                <w:rFonts w:eastAsia="Times New Roman"/>
              </w:rPr>
            </w:pPr>
            <w:r>
              <w:rPr>
                <w:rFonts w:eastAsia="Times New Roman"/>
              </w:rPr>
              <w:t> </w:t>
            </w:r>
          </w:p>
        </w:tc>
      </w:tr>
      <w:tr w:rsidR="00000000">
        <w:trPr>
          <w:divId w:val="21786016"/>
          <w:cantSplit/>
          <w:tblCellSpacing w:w="15" w:type="dxa"/>
        </w:trPr>
        <w:tc>
          <w:tcPr>
            <w:tcW w:w="0" w:type="auto"/>
            <w:vAlign w:val="center"/>
            <w:hideMark/>
          </w:tcPr>
          <w:p w:rsidR="00000000" w:rsidRDefault="00EB04A8">
            <w:pPr>
              <w:pStyle w:val="Normlnywebov"/>
            </w:pPr>
            <w:r>
              <w:rPr>
                <w:rStyle w:val="Siln"/>
              </w:rPr>
              <w:t>Prílohy</w:t>
            </w:r>
          </w:p>
        </w:tc>
        <w:tc>
          <w:tcPr>
            <w:tcW w:w="0" w:type="auto"/>
            <w:vAlign w:val="center"/>
            <w:hideMark/>
          </w:tcPr>
          <w:p w:rsidR="00000000" w:rsidRDefault="00EB04A8">
            <w:pPr>
              <w:pStyle w:val="Normlnywebov"/>
            </w:pPr>
            <w:r>
              <w:rPr>
                <w:rStyle w:val="Siln"/>
              </w:rPr>
              <w:t>Diagramy, modely, obrázky v plnom rozlíšení</w:t>
            </w:r>
          </w:p>
        </w:tc>
      </w:tr>
      <w:tr w:rsidR="00000000">
        <w:trPr>
          <w:divId w:val="21786016"/>
          <w:cantSplit/>
          <w:tblCellSpacing w:w="15" w:type="dxa"/>
        </w:trPr>
        <w:tc>
          <w:tcPr>
            <w:tcW w:w="0" w:type="auto"/>
            <w:vAlign w:val="center"/>
            <w:hideMark/>
          </w:tcPr>
          <w:p w:rsidR="00000000" w:rsidRDefault="00EB04A8">
            <w:pPr>
              <w:pStyle w:val="Normlnywebov"/>
            </w:pPr>
            <w:r>
              <w:rPr>
                <w:rFonts w:ascii="Arial Narrow" w:hAnsi="Arial Narrow"/>
                <w:color w:val="000000"/>
              </w:rPr>
              <w:t>Tabuľka 2 Riziká</w:t>
            </w:r>
          </w:p>
          <w:p w:rsidR="00000000" w:rsidRDefault="00EB04A8">
            <w:pPr>
              <w:pStyle w:val="Normlnywebov"/>
            </w:pPr>
            <w:r>
              <w:rPr>
                <w:rFonts w:ascii="Arial Narrow" w:hAnsi="Arial Narrow"/>
                <w:color w:val="000000"/>
              </w:rPr>
              <w:t>Tabuľka 3 Kritéria kvality</w:t>
            </w:r>
          </w:p>
          <w:p w:rsidR="00000000" w:rsidRDefault="00EB04A8">
            <w:pPr>
              <w:pStyle w:val="Normlnywebov"/>
            </w:pPr>
            <w:r>
              <w:rPr>
                <w:rFonts w:ascii="Arial Narrow" w:hAnsi="Arial Narrow"/>
                <w:color w:val="000000"/>
              </w:rPr>
              <w:t>Tabuľka 23 Dodávateľská podpora</w:t>
            </w:r>
          </w:p>
          <w:p w:rsidR="00000000" w:rsidRDefault="00EB04A8">
            <w:pPr>
              <w:pStyle w:val="Normlnywebov"/>
            </w:pPr>
            <w:r>
              <w:rPr>
                <w:rFonts w:ascii="Arial Narrow" w:hAnsi="Arial Narrow"/>
                <w:color w:val="000000"/>
              </w:rPr>
              <w:t>Tabuľka 24 Podpora vlastnými zdrojmi</w:t>
            </w:r>
          </w:p>
          <w:p w:rsidR="00000000" w:rsidRDefault="00EB04A8">
            <w:pPr>
              <w:pStyle w:val="Normlnywebov"/>
            </w:pPr>
            <w:r>
              <w:rPr>
                <w:rFonts w:ascii="Arial Narrow" w:hAnsi="Arial Narrow"/>
                <w:color w:val="000000"/>
              </w:rPr>
              <w:t>Tabuľka 25 Prostriedky v prená</w:t>
            </w:r>
            <w:r>
              <w:rPr>
                <w:rFonts w:ascii="Arial Narrow" w:hAnsi="Arial Narrow"/>
                <w:color w:val="000000"/>
              </w:rPr>
              <w:t xml:space="preserve">jme </w:t>
            </w:r>
          </w:p>
          <w:p w:rsidR="00000000" w:rsidRDefault="00EB04A8">
            <w:pPr>
              <w:pStyle w:val="Normlnywebov"/>
            </w:pPr>
            <w:r>
              <w:rPr>
                <w:color w:val="000000"/>
                <w:sz w:val="27"/>
                <w:szCs w:val="27"/>
              </w:rPr>
              <w:t> </w:t>
            </w:r>
            <w:r>
              <w:rPr>
                <w:rFonts w:ascii="Arial Narrow" w:hAnsi="Arial Narrow"/>
                <w:color w:val="000000"/>
                <w:sz w:val="18"/>
                <w:szCs w:val="18"/>
              </w:rPr>
              <w:t>SAMOSTATNÁ PRÍLOHA - Špecifikácia požiadaviek na predmet zákazky</w:t>
            </w:r>
          </w:p>
        </w:tc>
        <w:tc>
          <w:tcPr>
            <w:tcW w:w="0" w:type="auto"/>
            <w:vAlign w:val="center"/>
            <w:hideMark/>
          </w:tcPr>
          <w:p w:rsidR="00000000" w:rsidRDefault="00EB04A8">
            <w:pPr>
              <w:pStyle w:val="Normlnywebov"/>
            </w:pPr>
          </w:p>
        </w:tc>
      </w:tr>
    </w:tbl>
    <w:p w:rsidR="00000000" w:rsidRDefault="00EB04A8">
      <w:pPr>
        <w:pStyle w:val="Nadpis4"/>
        <w:rPr>
          <w:rFonts w:eastAsia="Times New Roman"/>
        </w:rPr>
      </w:pPr>
      <w:r>
        <w:rPr>
          <w:rFonts w:eastAsia="Times New Roman"/>
        </w:rPr>
        <w:t>2.4.2.5. Bezpečnostná architektúra</w:t>
      </w:r>
    </w:p>
    <w:p w:rsidR="00000000" w:rsidRDefault="00EB04A8">
      <w:pPr>
        <w:pStyle w:val="Normlnywebov"/>
      </w:pPr>
      <w:r>
        <w:t> </w:t>
      </w:r>
      <w:r>
        <w:rPr>
          <w:rStyle w:val="Zvraznenie"/>
        </w:rPr>
        <w:t>Tabuľka 15 Bezpečnostná architektúra - budúci stav</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5981"/>
        <w:gridCol w:w="3379"/>
      </w:tblGrid>
      <w:tr w:rsidR="00000000">
        <w:trPr>
          <w:divId w:val="1292787789"/>
          <w:cantSplit/>
          <w:tblCellSpacing w:w="15" w:type="dxa"/>
        </w:trPr>
        <w:tc>
          <w:tcPr>
            <w:tcW w:w="0" w:type="auto"/>
            <w:gridSpan w:val="2"/>
            <w:vAlign w:val="center"/>
            <w:hideMark/>
          </w:tcPr>
          <w:p w:rsidR="00000000" w:rsidRDefault="00EB04A8">
            <w:pPr>
              <w:pStyle w:val="Normlnywebov"/>
            </w:pPr>
            <w:r>
              <w:rPr>
                <w:rStyle w:val="Siln"/>
              </w:rPr>
              <w:t>Súhrnný popis</w:t>
            </w:r>
          </w:p>
        </w:tc>
      </w:tr>
      <w:tr w:rsidR="00000000">
        <w:trPr>
          <w:divId w:val="1292787789"/>
          <w:cantSplit/>
          <w:tblCellSpacing w:w="15" w:type="dxa"/>
        </w:trPr>
        <w:tc>
          <w:tcPr>
            <w:tcW w:w="0" w:type="auto"/>
            <w:gridSpan w:val="2"/>
            <w:vAlign w:val="center"/>
            <w:hideMark/>
          </w:tcPr>
          <w:p w:rsidR="00000000" w:rsidRDefault="00EB04A8">
            <w:pPr>
              <w:pStyle w:val="Normlnywebov"/>
            </w:pPr>
            <w:r>
              <w:rPr>
                <w:rFonts w:ascii="Arial Narrow" w:hAnsi="Arial Narrow"/>
                <w:color w:val="000000"/>
              </w:rPr>
              <w:t>V projekte je bezpečnostná architektúra daná projektom IS DCOM a z </w:t>
            </w:r>
            <w:r>
              <w:rPr>
                <w:rFonts w:ascii="Arial Narrow" w:hAnsi="Arial Narrow"/>
                <w:color w:val="000000"/>
              </w:rPr>
              <w:t>pohľadu datacentra sa týmto projektom nebude meniť.</w:t>
            </w:r>
          </w:p>
          <w:p w:rsidR="00000000" w:rsidRDefault="00EB04A8">
            <w:pPr>
              <w:pStyle w:val="Normlnywebov"/>
            </w:pPr>
            <w:r>
              <w:rPr>
                <w:rFonts w:ascii="Arial Narrow" w:hAnsi="Arial Narrow"/>
                <w:color w:val="000000"/>
              </w:rPr>
              <w:t>Pôsobnosť DCOM je na národnej úrovni, čo znamená že prenášanie údajov sa realizuje medzi veľkým počtom klientov pôsobiacich po celom území Slovenska. Projekt IS DCOM vymedzil základné princípy bezpečnosti</w:t>
            </w:r>
            <w:r>
              <w:rPr>
                <w:rFonts w:ascii="Arial Narrow" w:hAnsi="Arial Narrow"/>
                <w:color w:val="000000"/>
              </w:rPr>
              <w:t xml:space="preserve"> v dokumente Bezpečnostná politika DCOM, v súlade s právnymi normami, Národnou stratégiou pre bezpečnosť informačných systémov v Slovenskej republike a medzinárodnými normami v oblasti bezpečnosti informačných systémov.</w:t>
            </w:r>
          </w:p>
          <w:p w:rsidR="00000000" w:rsidRDefault="00EB04A8">
            <w:pPr>
              <w:pStyle w:val="Normlnywebov"/>
            </w:pPr>
            <w:r>
              <w:rPr>
                <w:rFonts w:ascii="Arial Narrow" w:hAnsi="Arial Narrow"/>
                <w:color w:val="000000"/>
              </w:rPr>
              <w:t>Bezpečnosť DCOM je riešená komplexne</w:t>
            </w:r>
            <w:r>
              <w:rPr>
                <w:rFonts w:ascii="Arial Narrow" w:hAnsi="Arial Narrow"/>
                <w:color w:val="000000"/>
              </w:rPr>
              <w:t>, a to pokrytím pravidiel a nástrojov pre nasledovné oblasti:</w:t>
            </w:r>
          </w:p>
          <w:p w:rsidR="00000000" w:rsidRDefault="00EB04A8">
            <w:pPr>
              <w:pStyle w:val="Normlnywebov"/>
              <w:numPr>
                <w:ilvl w:val="0"/>
                <w:numId w:val="33"/>
              </w:numPr>
              <w:spacing w:before="0" w:beforeAutospacing="0" w:after="0" w:afterAutospacing="0"/>
            </w:pPr>
            <w:r>
              <w:t>Autentifikácia - identita používateľa alebo aplikácie pristupujúcej do DCOM musí byť overená.</w:t>
            </w:r>
          </w:p>
          <w:p w:rsidR="00000000" w:rsidRDefault="00EB04A8">
            <w:pPr>
              <w:pStyle w:val="Normlnywebov"/>
              <w:numPr>
                <w:ilvl w:val="0"/>
                <w:numId w:val="33"/>
              </w:numPr>
              <w:spacing w:before="0" w:beforeAutospacing="0" w:after="0" w:afterAutospacing="0"/>
              <w:rPr>
                <w:rFonts w:ascii="Arial Narrow" w:hAnsi="Arial Narrow"/>
                <w:color w:val="000000"/>
                <w:sz w:val="18"/>
                <w:szCs w:val="18"/>
              </w:rPr>
            </w:pPr>
            <w:r>
              <w:rPr>
                <w:rFonts w:ascii="Arial Narrow" w:hAnsi="Arial Narrow"/>
                <w:color w:val="000000"/>
                <w:sz w:val="18"/>
                <w:szCs w:val="18"/>
              </w:rPr>
              <w:t>Autorizácia – používateľ, ktorého identita bola overená, musí mať používateľské práva len na vykoná</w:t>
            </w:r>
            <w:r>
              <w:rPr>
                <w:rFonts w:ascii="Arial Narrow" w:hAnsi="Arial Narrow"/>
                <w:color w:val="000000"/>
                <w:sz w:val="18"/>
                <w:szCs w:val="18"/>
              </w:rPr>
              <w:t>vanie operácií, na ktoré je oprávnený.</w:t>
            </w:r>
          </w:p>
          <w:p w:rsidR="00000000" w:rsidRDefault="00EB04A8">
            <w:pPr>
              <w:pStyle w:val="Normlnywebov"/>
              <w:numPr>
                <w:ilvl w:val="0"/>
                <w:numId w:val="33"/>
              </w:numPr>
              <w:spacing w:before="0" w:beforeAutospacing="0" w:after="0" w:afterAutospacing="0"/>
              <w:rPr>
                <w:rFonts w:ascii="Arial Narrow" w:hAnsi="Arial Narrow"/>
                <w:color w:val="000000"/>
                <w:sz w:val="18"/>
                <w:szCs w:val="18"/>
              </w:rPr>
            </w:pPr>
            <w:r>
              <w:rPr>
                <w:rFonts w:ascii="Arial Narrow" w:hAnsi="Arial Narrow"/>
                <w:color w:val="000000"/>
                <w:sz w:val="18"/>
                <w:szCs w:val="18"/>
              </w:rPr>
              <w:t>Bezpečnostný audit zabezpečuje preverenie systému na súlad so stanovenými bezpečnostnými pravidlami DCOM.</w:t>
            </w:r>
          </w:p>
          <w:p w:rsidR="00000000" w:rsidRDefault="00EB04A8">
            <w:pPr>
              <w:pStyle w:val="Normlnywebov"/>
              <w:numPr>
                <w:ilvl w:val="0"/>
                <w:numId w:val="33"/>
              </w:numPr>
              <w:spacing w:before="0" w:beforeAutospacing="0" w:after="0" w:afterAutospacing="0"/>
              <w:rPr>
                <w:rFonts w:ascii="Arial Narrow" w:hAnsi="Arial Narrow"/>
                <w:color w:val="000000"/>
                <w:sz w:val="18"/>
                <w:szCs w:val="18"/>
              </w:rPr>
            </w:pPr>
            <w:r>
              <w:rPr>
                <w:rFonts w:ascii="Arial Narrow" w:hAnsi="Arial Narrow"/>
                <w:color w:val="000000"/>
                <w:sz w:val="18"/>
                <w:szCs w:val="18"/>
              </w:rPr>
              <w:t>Kontrola prevádzky a dodržiavania bezpečnostných pravidiel je sledovaná priebežným monitoringom bezpečnosti.</w:t>
            </w:r>
          </w:p>
          <w:p w:rsidR="00000000" w:rsidRDefault="00EB04A8">
            <w:pPr>
              <w:pStyle w:val="Normlnywebov"/>
              <w:numPr>
                <w:ilvl w:val="0"/>
                <w:numId w:val="33"/>
              </w:numPr>
              <w:spacing w:before="0" w:beforeAutospacing="0" w:after="0" w:afterAutospacing="0"/>
              <w:rPr>
                <w:rFonts w:ascii="Arial Narrow" w:hAnsi="Arial Narrow"/>
                <w:color w:val="000000"/>
                <w:sz w:val="18"/>
                <w:szCs w:val="18"/>
              </w:rPr>
            </w:pPr>
            <w:r>
              <w:rPr>
                <w:rFonts w:ascii="Arial Narrow" w:hAnsi="Arial Narrow"/>
                <w:color w:val="000000"/>
                <w:sz w:val="18"/>
                <w:szCs w:val="18"/>
              </w:rPr>
              <w:t>Za</w:t>
            </w:r>
            <w:r>
              <w:rPr>
                <w:rFonts w:ascii="Arial Narrow" w:hAnsi="Arial Narrow"/>
                <w:color w:val="000000"/>
                <w:sz w:val="18"/>
                <w:szCs w:val="18"/>
              </w:rPr>
              <w:t>istenie bezpečnosti je riešené v procese testovania a preukazovania súladu bezpečnostných atribútov vyžadovaných bezpečnostnými pravidlami DCOM.</w:t>
            </w:r>
          </w:p>
          <w:p w:rsidR="00000000" w:rsidRDefault="00EB04A8">
            <w:pPr>
              <w:pStyle w:val="Normlnywebov"/>
              <w:numPr>
                <w:ilvl w:val="0"/>
                <w:numId w:val="33"/>
              </w:numPr>
              <w:spacing w:before="0" w:beforeAutospacing="0" w:after="0" w:afterAutospacing="0"/>
              <w:rPr>
                <w:rFonts w:ascii="Arial Narrow" w:hAnsi="Arial Narrow"/>
                <w:color w:val="000000"/>
                <w:sz w:val="18"/>
                <w:szCs w:val="18"/>
              </w:rPr>
            </w:pPr>
            <w:r>
              <w:rPr>
                <w:rFonts w:ascii="Arial Narrow" w:hAnsi="Arial Narrow"/>
                <w:color w:val="000000"/>
                <w:sz w:val="18"/>
                <w:szCs w:val="18"/>
              </w:rPr>
              <w:t xml:space="preserve">Dostupnosť DCOM je daná schopnosťou prevádzky pri jej prerušení, resp. preťažení z dôvodu neštandardných alebo </w:t>
            </w:r>
            <w:r>
              <w:rPr>
                <w:rFonts w:ascii="Arial Narrow" w:hAnsi="Arial Narrow"/>
                <w:color w:val="000000"/>
                <w:sz w:val="18"/>
                <w:szCs w:val="18"/>
              </w:rPr>
              <w:t>iných udalostí.</w:t>
            </w:r>
          </w:p>
          <w:p w:rsidR="00000000" w:rsidRDefault="00EB04A8">
            <w:pPr>
              <w:pStyle w:val="Normlnywebov"/>
              <w:numPr>
                <w:ilvl w:val="0"/>
                <w:numId w:val="33"/>
              </w:numPr>
              <w:spacing w:before="0" w:beforeAutospacing="0" w:after="0" w:afterAutospacing="0"/>
              <w:rPr>
                <w:rFonts w:ascii="Arial Narrow" w:hAnsi="Arial Narrow"/>
                <w:color w:val="000000"/>
                <w:sz w:val="18"/>
                <w:szCs w:val="18"/>
              </w:rPr>
            </w:pPr>
            <w:r>
              <w:rPr>
                <w:rFonts w:ascii="Arial Narrow" w:hAnsi="Arial Narrow"/>
                <w:color w:val="000000"/>
                <w:sz w:val="18"/>
                <w:szCs w:val="18"/>
              </w:rPr>
              <w:t>Ochrana údajov DCOM je definovaná schopnosťou ochrany informácií pred stratou alebo únikom, schopnosťou ochrany systémov DCOM pred neautorizovaným a neoprávneným používaním, proti poruchám zariadení a krízovým udalostiam akými sú prírodné katastrofy.</w:t>
            </w:r>
          </w:p>
          <w:p w:rsidR="00000000" w:rsidRDefault="00EB04A8">
            <w:pPr>
              <w:pStyle w:val="Normlnywebov"/>
              <w:numPr>
                <w:ilvl w:val="0"/>
                <w:numId w:val="33"/>
              </w:numPr>
              <w:spacing w:before="0" w:beforeAutospacing="0" w:after="0" w:afterAutospacing="0"/>
              <w:rPr>
                <w:rFonts w:ascii="Arial Narrow" w:hAnsi="Arial Narrow"/>
                <w:color w:val="000000"/>
                <w:sz w:val="18"/>
                <w:szCs w:val="18"/>
              </w:rPr>
            </w:pPr>
            <w:r>
              <w:rPr>
                <w:rFonts w:ascii="Arial Narrow" w:hAnsi="Arial Narrow"/>
                <w:color w:val="000000"/>
                <w:sz w:val="18"/>
                <w:szCs w:val="18"/>
              </w:rPr>
              <w:t>Správ</w:t>
            </w:r>
            <w:r>
              <w:rPr>
                <w:rFonts w:ascii="Arial Narrow" w:hAnsi="Arial Narrow"/>
                <w:color w:val="000000"/>
                <w:sz w:val="18"/>
                <w:szCs w:val="18"/>
              </w:rPr>
              <w:t>a bezpečnosti DCOM je definovaná schopnosťou nastaviť a spravovať bezpečnostné pravidlá, určením dodržiavania bezpečnostných pravidiel v systéme a nastavením používateľov a systémov pristupujúcich k DCOM.</w:t>
            </w:r>
          </w:p>
          <w:p w:rsidR="00000000" w:rsidRDefault="00EB04A8">
            <w:pPr>
              <w:pStyle w:val="Normlnywebov"/>
              <w:numPr>
                <w:ilvl w:val="0"/>
                <w:numId w:val="33"/>
              </w:numPr>
              <w:spacing w:before="0" w:beforeAutospacing="0" w:after="0" w:afterAutospacing="0"/>
              <w:rPr>
                <w:rFonts w:ascii="Arial Narrow" w:hAnsi="Arial Narrow"/>
                <w:color w:val="000000"/>
                <w:sz w:val="18"/>
                <w:szCs w:val="18"/>
              </w:rPr>
            </w:pPr>
            <w:r>
              <w:rPr>
                <w:rFonts w:ascii="Arial Narrow" w:hAnsi="Arial Narrow"/>
                <w:color w:val="000000"/>
                <w:sz w:val="18"/>
                <w:szCs w:val="18"/>
              </w:rPr>
              <w:t>Správa bezpečnostných rizík je definovaná schopnosť</w:t>
            </w:r>
            <w:r>
              <w:rPr>
                <w:rFonts w:ascii="Arial Narrow" w:hAnsi="Arial Narrow"/>
                <w:color w:val="000000"/>
                <w:sz w:val="18"/>
                <w:szCs w:val="18"/>
              </w:rPr>
              <w:t>ou organizácie odolávať bezpečnostným rizikám.</w:t>
            </w:r>
          </w:p>
          <w:p w:rsidR="00000000" w:rsidRDefault="00EB04A8">
            <w:pPr>
              <w:pStyle w:val="Normlnywebov"/>
              <w:spacing w:before="130" w:beforeAutospacing="0" w:after="130" w:afterAutospacing="0"/>
              <w:ind w:left="720"/>
              <w:rPr>
                <w:rFonts w:ascii="Arial Narrow" w:hAnsi="Arial Narrow"/>
                <w:color w:val="000000"/>
                <w:sz w:val="18"/>
                <w:szCs w:val="18"/>
              </w:rPr>
            </w:pPr>
            <w:r>
              <w:rPr>
                <w:rFonts w:ascii="Arial Narrow" w:hAnsi="Arial Narrow"/>
                <w:color w:val="000000"/>
                <w:sz w:val="18"/>
                <w:szCs w:val="18"/>
              </w:rPr>
              <w:t>Bude však potrebné na každej obci v rámci analýzy overiť aktuálny stav bezpečnosti a identifikovať prípadné riziká, ktoré by napojením obce na IS DCOM mohli vzniknúť. V prípade ak tieto riziká budú neakceptova</w:t>
            </w:r>
            <w:r>
              <w:rPr>
                <w:rFonts w:ascii="Arial Narrow" w:hAnsi="Arial Narrow"/>
                <w:color w:val="000000"/>
                <w:sz w:val="18"/>
                <w:szCs w:val="18"/>
              </w:rPr>
              <w:t>teľné bude potrebné navrhnúť a zrealizovať na takejto obci relevantné opatrenia. Očakávame, že riešenie bude spočívať v nastavení konfigurácie počítačovej siete na obci a nastavení prístupových práv. Vykonanie týchto úprav je zahrnuté v harmonograme projek</w:t>
            </w:r>
            <w:r>
              <w:rPr>
                <w:rFonts w:ascii="Arial Narrow" w:hAnsi="Arial Narrow"/>
                <w:color w:val="000000"/>
                <w:sz w:val="18"/>
                <w:szCs w:val="18"/>
              </w:rPr>
              <w:t>tu.</w:t>
            </w:r>
          </w:p>
          <w:p w:rsidR="00000000" w:rsidRDefault="00EB04A8">
            <w:pPr>
              <w:pStyle w:val="Normlnywebov"/>
            </w:pPr>
          </w:p>
          <w:p w:rsidR="00000000" w:rsidRDefault="00EB04A8">
            <w:pPr>
              <w:pStyle w:val="Normlnywebov"/>
              <w:spacing w:before="0" w:beforeAutospacing="0" w:after="0" w:afterAutospacing="0"/>
            </w:pPr>
            <w:r>
              <w:rPr>
                <w:rFonts w:ascii="Arial Narrow" w:hAnsi="Arial Narrow"/>
                <w:color w:val="000000"/>
              </w:rPr>
              <w:t>V harmonograme projektu je potrebné zapracovať aktivity:</w:t>
            </w:r>
          </w:p>
          <w:p w:rsidR="00000000" w:rsidRDefault="00EB04A8">
            <w:pPr>
              <w:pStyle w:val="Normlnywebov"/>
            </w:pPr>
          </w:p>
          <w:p w:rsidR="00000000" w:rsidRDefault="00EB04A8">
            <w:pPr>
              <w:pStyle w:val="Normlnywebov"/>
              <w:numPr>
                <w:ilvl w:val="0"/>
                <w:numId w:val="34"/>
              </w:numPr>
              <w:spacing w:before="0" w:beforeAutospacing="0" w:after="0" w:afterAutospacing="0"/>
            </w:pPr>
            <w:r>
              <w:t>pre riešenie dopadov v oblasti bezpečnosti pripájaných obcí</w:t>
            </w:r>
          </w:p>
          <w:p w:rsidR="00000000" w:rsidRDefault="00EB04A8">
            <w:pPr>
              <w:numPr>
                <w:ilvl w:val="0"/>
                <w:numId w:val="34"/>
              </w:numPr>
              <w:spacing w:before="100" w:beforeAutospacing="1" w:after="100" w:afterAutospacing="1"/>
              <w:rPr>
                <w:rFonts w:eastAsia="Times New Roman"/>
              </w:rPr>
            </w:pPr>
            <w:r>
              <w:rPr>
                <w:rFonts w:ascii="Arial Narrow" w:eastAsia="Times New Roman" w:hAnsi="Arial Narrow"/>
                <w:color w:val="000000"/>
                <w:sz w:val="18"/>
                <w:szCs w:val="18"/>
              </w:rPr>
              <w:t>pre vykonanie analýzy dopadov pripojenia jednotlivých obcí na úroveň bezpečnosti DCOM a realizáciu potrebných opatrení.</w:t>
            </w:r>
          </w:p>
          <w:p w:rsidR="00000000" w:rsidRDefault="00EB04A8">
            <w:pPr>
              <w:pStyle w:val="Normlnywebov"/>
            </w:pPr>
            <w:r>
              <w:t> </w:t>
            </w:r>
          </w:p>
        </w:tc>
      </w:tr>
      <w:tr w:rsidR="00000000">
        <w:trPr>
          <w:divId w:val="1292787789"/>
          <w:cantSplit/>
          <w:tblCellSpacing w:w="15" w:type="dxa"/>
        </w:trPr>
        <w:tc>
          <w:tcPr>
            <w:tcW w:w="0" w:type="auto"/>
            <w:gridSpan w:val="2"/>
            <w:vAlign w:val="center"/>
            <w:hideMark/>
          </w:tcPr>
          <w:p w:rsidR="00000000" w:rsidRDefault="00EB04A8">
            <w:pPr>
              <w:pStyle w:val="Normlnywebov"/>
            </w:pPr>
            <w:r>
              <w:rPr>
                <w:rStyle w:val="inline-comment-marker"/>
              </w:rPr>
              <w:t>Obrázok</w:t>
            </w:r>
            <w:r>
              <w:rPr>
                <w:rStyle w:val="inline-comment-marker"/>
              </w:rPr>
              <w:t> 1</w:t>
            </w:r>
            <w:r>
              <w:rPr>
                <w:rStyle w:val="inline-comment-marker"/>
              </w:rPr>
              <w:t>7</w:t>
            </w:r>
            <w:r>
              <w:t xml:space="preserve"> Cieľová bezpečnostná architektúra</w:t>
            </w:r>
          </w:p>
          <w:p w:rsidR="00000000" w:rsidRDefault="00EB04A8">
            <w:pPr>
              <w:pStyle w:val="Normlnywebov"/>
            </w:pPr>
            <w:r>
              <w:rPr>
                <w:noProof/>
              </w:rPr>
              <w:drawing>
                <wp:inline distT="0" distB="0" distL="0" distR="0">
                  <wp:extent cx="4457700" cy="5341620"/>
                  <wp:effectExtent l="0" t="0" r="0" b="0"/>
                  <wp:docPr id="18" name="Obrázok 18" descr="C:\4b3a29d96ba7f980b8e75d4e3027ca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4b3a29d96ba7f980b8e75d4e3027cae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57700" cy="5341620"/>
                          </a:xfrm>
                          <a:prstGeom prst="rect">
                            <a:avLst/>
                          </a:prstGeom>
                          <a:noFill/>
                          <a:ln>
                            <a:noFill/>
                          </a:ln>
                        </pic:spPr>
                      </pic:pic>
                    </a:graphicData>
                  </a:graphic>
                </wp:inline>
              </w:drawing>
            </w:r>
          </w:p>
          <w:p w:rsidR="00000000" w:rsidRDefault="00EB04A8">
            <w:pPr>
              <w:pStyle w:val="Normlnywebov"/>
            </w:pPr>
            <w:r>
              <w:t> </w:t>
            </w:r>
          </w:p>
        </w:tc>
      </w:tr>
      <w:tr w:rsidR="00000000">
        <w:trPr>
          <w:divId w:val="1292787789"/>
          <w:cantSplit/>
          <w:tblCellSpacing w:w="15" w:type="dxa"/>
        </w:trPr>
        <w:tc>
          <w:tcPr>
            <w:tcW w:w="0" w:type="auto"/>
            <w:vAlign w:val="center"/>
            <w:hideMark/>
          </w:tcPr>
          <w:p w:rsidR="00000000" w:rsidRDefault="00EB04A8">
            <w:pPr>
              <w:pStyle w:val="Normlnywebov"/>
            </w:pPr>
            <w:r>
              <w:rPr>
                <w:rStyle w:val="Siln"/>
              </w:rPr>
              <w:t>Kritéria kvality</w:t>
            </w:r>
          </w:p>
        </w:tc>
        <w:tc>
          <w:tcPr>
            <w:tcW w:w="0" w:type="auto"/>
            <w:vAlign w:val="center"/>
            <w:hideMark/>
          </w:tcPr>
          <w:p w:rsidR="00000000" w:rsidRDefault="00EB04A8">
            <w:pPr>
              <w:pStyle w:val="Normlnywebov"/>
            </w:pPr>
            <w:r>
              <w:rPr>
                <w:rStyle w:val="Siln"/>
              </w:rPr>
              <w:t>Spresnenie kritéria kvality: Odkazy na relevantné identifikátory kritérií kvality v prílohe, Kritéria kvality.</w:t>
            </w:r>
          </w:p>
        </w:tc>
      </w:tr>
      <w:tr w:rsidR="00000000">
        <w:trPr>
          <w:divId w:val="1292787789"/>
          <w:cantSplit/>
          <w:tblCellSpacing w:w="15" w:type="dxa"/>
        </w:trPr>
        <w:tc>
          <w:tcPr>
            <w:tcW w:w="0" w:type="auto"/>
            <w:vAlign w:val="center"/>
            <w:hideMark/>
          </w:tcPr>
          <w:p w:rsidR="00000000" w:rsidRDefault="00EB04A8">
            <w:pPr>
              <w:rPr>
                <w:rFonts w:eastAsia="Times New Roman"/>
              </w:rPr>
            </w:pPr>
            <w:r>
              <w:rPr>
                <w:rFonts w:eastAsia="Times New Roman"/>
              </w:rPr>
              <w:t> </w:t>
            </w:r>
          </w:p>
        </w:tc>
        <w:tc>
          <w:tcPr>
            <w:tcW w:w="0" w:type="auto"/>
            <w:vAlign w:val="center"/>
            <w:hideMark/>
          </w:tcPr>
          <w:p w:rsidR="00000000" w:rsidRDefault="00EB04A8">
            <w:pPr>
              <w:rPr>
                <w:rFonts w:eastAsia="Times New Roman"/>
              </w:rPr>
            </w:pPr>
            <w:r>
              <w:rPr>
                <w:rFonts w:eastAsia="Times New Roman"/>
              </w:rPr>
              <w:t> </w:t>
            </w:r>
          </w:p>
        </w:tc>
      </w:tr>
      <w:tr w:rsidR="00000000">
        <w:trPr>
          <w:divId w:val="1292787789"/>
          <w:cantSplit/>
          <w:tblCellSpacing w:w="15" w:type="dxa"/>
        </w:trPr>
        <w:tc>
          <w:tcPr>
            <w:tcW w:w="0" w:type="auto"/>
            <w:vAlign w:val="center"/>
            <w:hideMark/>
          </w:tcPr>
          <w:p w:rsidR="00000000" w:rsidRDefault="00EB04A8">
            <w:pPr>
              <w:rPr>
                <w:rFonts w:eastAsia="Times New Roman"/>
              </w:rPr>
            </w:pPr>
            <w:r>
              <w:rPr>
                <w:rFonts w:eastAsia="Times New Roman"/>
              </w:rPr>
              <w:t> </w:t>
            </w:r>
            <w:r>
              <w:rPr>
                <w:rStyle w:val="Siln"/>
                <w:rFonts w:eastAsia="Times New Roman"/>
              </w:rPr>
              <w:t>Riziká</w:t>
            </w:r>
          </w:p>
        </w:tc>
        <w:tc>
          <w:tcPr>
            <w:tcW w:w="0" w:type="auto"/>
            <w:vAlign w:val="center"/>
            <w:hideMark/>
          </w:tcPr>
          <w:p w:rsidR="00000000" w:rsidRDefault="00EB04A8">
            <w:pPr>
              <w:rPr>
                <w:rFonts w:eastAsia="Times New Roman"/>
              </w:rPr>
            </w:pPr>
            <w:r>
              <w:rPr>
                <w:rFonts w:eastAsia="Times New Roman"/>
              </w:rPr>
              <w:t> </w:t>
            </w:r>
          </w:p>
          <w:p w:rsidR="00000000" w:rsidRDefault="00EB04A8">
            <w:pPr>
              <w:pStyle w:val="Normlnywebov"/>
            </w:pPr>
            <w:r>
              <w:rPr>
                <w:rStyle w:val="Siln"/>
              </w:rPr>
              <w:t>Spresnenie identifikovaných rizík: Odkazy na relevantné identifikátory rizík v prílohe Riziká</w:t>
            </w:r>
          </w:p>
        </w:tc>
      </w:tr>
      <w:tr w:rsidR="00000000">
        <w:trPr>
          <w:divId w:val="1292787789"/>
          <w:cantSplit/>
          <w:tblCellSpacing w:w="15" w:type="dxa"/>
        </w:trPr>
        <w:tc>
          <w:tcPr>
            <w:tcW w:w="0" w:type="auto"/>
            <w:vAlign w:val="center"/>
            <w:hideMark/>
          </w:tcPr>
          <w:p w:rsidR="00000000" w:rsidRDefault="00EB04A8">
            <w:pPr>
              <w:pStyle w:val="Normlnywebov"/>
            </w:pPr>
            <w:r>
              <w:t> </w:t>
            </w:r>
            <w:r>
              <w:rPr>
                <w:color w:val="000000"/>
                <w:sz w:val="27"/>
                <w:szCs w:val="27"/>
              </w:rPr>
              <w:t xml:space="preserve"> R26 - </w:t>
            </w:r>
            <w:bookmarkStart w:id="24" w:name="_Toc446408322"/>
            <w:bookmarkEnd w:id="24"/>
            <w:r>
              <w:rPr>
                <w:color w:val="000000"/>
                <w:sz w:val="27"/>
                <w:szCs w:val="27"/>
              </w:rPr>
              <w:t>Požiadavky na úroveň zabe</w:t>
            </w:r>
            <w:r>
              <w:rPr>
                <w:color w:val="000000"/>
                <w:sz w:val="27"/>
                <w:szCs w:val="27"/>
              </w:rPr>
              <w:t xml:space="preserve">zpečenia informačného systému obce sa zapojením do IS DCOM zmenia. </w:t>
            </w:r>
          </w:p>
          <w:p w:rsidR="00000000" w:rsidRDefault="00EB04A8">
            <w:pPr>
              <w:pStyle w:val="Normlnywebov"/>
            </w:pPr>
            <w:r>
              <w:rPr>
                <w:color w:val="000000"/>
                <w:sz w:val="27"/>
                <w:szCs w:val="27"/>
              </w:rPr>
              <w:t xml:space="preserve">  R27 - </w:t>
            </w:r>
            <w:bookmarkStart w:id="25" w:name="_Toc446408323"/>
            <w:bookmarkEnd w:id="25"/>
            <w:r>
              <w:rPr>
                <w:color w:val="000000"/>
                <w:sz w:val="27"/>
                <w:szCs w:val="27"/>
              </w:rPr>
              <w:t xml:space="preserve">Pripojením ISO  do DCOM sa v zóne koncových bodov DCOM aktivuje nový komunikačný kanál Obec-Internet, ktorého bezpečnostné parametre nie sú pre správcu koncových bodov DCOM známe. </w:t>
            </w:r>
          </w:p>
        </w:tc>
        <w:tc>
          <w:tcPr>
            <w:tcW w:w="0" w:type="auto"/>
            <w:vAlign w:val="center"/>
            <w:hideMark/>
          </w:tcPr>
          <w:p w:rsidR="00000000" w:rsidRDefault="00EB04A8">
            <w:pPr>
              <w:rPr>
                <w:rFonts w:eastAsia="Times New Roman"/>
              </w:rPr>
            </w:pPr>
            <w:r>
              <w:rPr>
                <w:rFonts w:eastAsia="Times New Roman"/>
              </w:rPr>
              <w:t> </w:t>
            </w:r>
          </w:p>
        </w:tc>
      </w:tr>
      <w:tr w:rsidR="00000000">
        <w:trPr>
          <w:divId w:val="1292787789"/>
          <w:cantSplit/>
          <w:tblCellSpacing w:w="15" w:type="dxa"/>
        </w:trPr>
        <w:tc>
          <w:tcPr>
            <w:tcW w:w="0" w:type="auto"/>
            <w:vAlign w:val="center"/>
            <w:hideMark/>
          </w:tcPr>
          <w:p w:rsidR="00000000" w:rsidRDefault="00EB04A8">
            <w:pPr>
              <w:rPr>
                <w:rFonts w:eastAsia="Times New Roman"/>
              </w:rPr>
            </w:pPr>
            <w:r>
              <w:rPr>
                <w:rStyle w:val="Siln"/>
                <w:rFonts w:eastAsia="Times New Roman"/>
              </w:rPr>
              <w:t> Prílohy</w:t>
            </w:r>
          </w:p>
        </w:tc>
        <w:tc>
          <w:tcPr>
            <w:tcW w:w="0" w:type="auto"/>
            <w:vAlign w:val="center"/>
            <w:hideMark/>
          </w:tcPr>
          <w:p w:rsidR="00000000" w:rsidRDefault="00EB04A8">
            <w:pPr>
              <w:rPr>
                <w:rFonts w:eastAsia="Times New Roman"/>
              </w:rPr>
            </w:pPr>
            <w:r>
              <w:rPr>
                <w:rStyle w:val="Siln"/>
                <w:rFonts w:eastAsia="Times New Roman"/>
              </w:rPr>
              <w:t> Diagramy, modely, obrázky v plnom rozlíšení</w:t>
            </w:r>
          </w:p>
        </w:tc>
      </w:tr>
      <w:tr w:rsidR="00000000">
        <w:trPr>
          <w:divId w:val="1292787789"/>
          <w:cantSplit/>
          <w:tblCellSpacing w:w="15" w:type="dxa"/>
        </w:trPr>
        <w:tc>
          <w:tcPr>
            <w:tcW w:w="0" w:type="auto"/>
            <w:vAlign w:val="center"/>
            <w:hideMark/>
          </w:tcPr>
          <w:p w:rsidR="00000000" w:rsidRDefault="00EB04A8">
            <w:pPr>
              <w:pStyle w:val="Normlnywebov"/>
            </w:pPr>
            <w:r>
              <w:rPr>
                <w:rFonts w:ascii="Arial Narrow" w:hAnsi="Arial Narrow"/>
                <w:color w:val="000000"/>
              </w:rPr>
              <w:t xml:space="preserve">Tabuľka 2 Riziká </w:t>
            </w:r>
          </w:p>
          <w:p w:rsidR="00000000" w:rsidRDefault="00EB04A8">
            <w:pPr>
              <w:pStyle w:val="Normlnywebov"/>
            </w:pPr>
            <w:r>
              <w:rPr>
                <w:rFonts w:ascii="Arial Narrow" w:hAnsi="Arial Narrow"/>
                <w:color w:val="000000"/>
                <w:sz w:val="18"/>
                <w:szCs w:val="18"/>
              </w:rPr>
              <w:t xml:space="preserve">Tabuľka 3 Kritéria kvality </w:t>
            </w:r>
          </w:p>
        </w:tc>
        <w:tc>
          <w:tcPr>
            <w:tcW w:w="0" w:type="auto"/>
            <w:vAlign w:val="center"/>
            <w:hideMark/>
          </w:tcPr>
          <w:p w:rsidR="00000000" w:rsidRDefault="00EB04A8">
            <w:pPr>
              <w:pStyle w:val="Normlnywebov"/>
            </w:pPr>
            <w:r>
              <w:t> </w:t>
            </w:r>
          </w:p>
        </w:tc>
      </w:tr>
    </w:tbl>
    <w:p w:rsidR="00000000" w:rsidRDefault="00EB04A8">
      <w:pPr>
        <w:pStyle w:val="Nadpis3"/>
        <w:rPr>
          <w:rFonts w:eastAsia="Times New Roman"/>
        </w:rPr>
      </w:pPr>
      <w:r>
        <w:rPr>
          <w:rFonts w:eastAsia="Times New Roman"/>
        </w:rPr>
        <w:t>2.4.3. Prevádzka</w:t>
      </w:r>
    </w:p>
    <w:p w:rsidR="00000000" w:rsidRDefault="00EB04A8">
      <w:pPr>
        <w:pStyle w:val="Normlnywebov"/>
      </w:pPr>
      <w:r>
        <w:rPr>
          <w:rStyle w:val="Zvraznenie"/>
        </w:rPr>
        <w:t>Tabuľka 16 Prevádzka - budúci stav</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5824"/>
        <w:gridCol w:w="3536"/>
      </w:tblGrid>
      <w:tr w:rsidR="00000000">
        <w:trPr>
          <w:divId w:val="525365262"/>
          <w:cantSplit/>
          <w:tblCellSpacing w:w="15" w:type="dxa"/>
        </w:trPr>
        <w:tc>
          <w:tcPr>
            <w:tcW w:w="0" w:type="auto"/>
            <w:gridSpan w:val="2"/>
            <w:vAlign w:val="center"/>
            <w:hideMark/>
          </w:tcPr>
          <w:p w:rsidR="00000000" w:rsidRDefault="00EB04A8">
            <w:pPr>
              <w:pStyle w:val="Normlnywebov"/>
            </w:pPr>
            <w:r>
              <w:rPr>
                <w:rStyle w:val="Siln"/>
              </w:rPr>
              <w:t>Súhrnný popis</w:t>
            </w:r>
          </w:p>
        </w:tc>
      </w:tr>
      <w:tr w:rsidR="00000000">
        <w:trPr>
          <w:divId w:val="525365262"/>
          <w:cantSplit/>
          <w:tblCellSpacing w:w="15" w:type="dxa"/>
        </w:trPr>
        <w:tc>
          <w:tcPr>
            <w:tcW w:w="0" w:type="auto"/>
            <w:gridSpan w:val="2"/>
            <w:vAlign w:val="center"/>
            <w:hideMark/>
          </w:tcPr>
          <w:p w:rsidR="00000000" w:rsidRDefault="00EB04A8">
            <w:pPr>
              <w:pStyle w:val="Normlnywebov"/>
            </w:pPr>
            <w:r>
              <w:t>Zásadnou zmenou z </w:t>
            </w:r>
            <w:r>
              <w:t>pohľadu obce bude presun rozhodujúcej časti prác súvisiacich s prevádzkou ich informačného systému na DEUS, prevádzkovateľa projektu DCOM, resp. DCOM+. Presun zodpovednosti z obce na DEUS naznačuje nasledovný obrázok.</w:t>
            </w:r>
          </w:p>
          <w:p w:rsidR="00000000" w:rsidRDefault="00EB04A8">
            <w:pPr>
              <w:pStyle w:val="Normlnywebov"/>
            </w:pPr>
            <w:r>
              <w:t>Obrázok 18 Obrázok porovnáva prevádzku</w:t>
            </w:r>
            <w:r>
              <w:t xml:space="preserve"> ISO pred migráciou a po migrácii do IS DCOM (vládneho cloud).</w:t>
            </w:r>
          </w:p>
          <w:p w:rsidR="00000000" w:rsidRDefault="00EB04A8">
            <w:pPr>
              <w:pStyle w:val="Normlnywebov"/>
            </w:pPr>
            <w:r>
              <w:t> </w:t>
            </w:r>
            <w:r>
              <w:rPr>
                <w:noProof/>
              </w:rPr>
              <w:drawing>
                <wp:inline distT="0" distB="0" distL="0" distR="0">
                  <wp:extent cx="4457700" cy="2948940"/>
                  <wp:effectExtent l="0" t="0" r="0" b="3810"/>
                  <wp:docPr id="19" name="Obrázok 19" descr="C:\2938284db804d63106ba5bf6831e2f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2938284db804d63106ba5bf6831e2f7b"/>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57700" cy="2948940"/>
                          </a:xfrm>
                          <a:prstGeom prst="rect">
                            <a:avLst/>
                          </a:prstGeom>
                          <a:noFill/>
                          <a:ln>
                            <a:noFill/>
                          </a:ln>
                        </pic:spPr>
                      </pic:pic>
                    </a:graphicData>
                  </a:graphic>
                </wp:inline>
              </w:drawing>
            </w:r>
          </w:p>
          <w:p w:rsidR="00000000" w:rsidRDefault="00EB04A8">
            <w:pPr>
              <w:pStyle w:val="Normlnywebov"/>
            </w:pPr>
            <w:r>
              <w:t> </w:t>
            </w:r>
          </w:p>
          <w:p w:rsidR="00000000" w:rsidRDefault="00EB04A8">
            <w:pPr>
              <w:pStyle w:val="Normlnywebov"/>
            </w:pPr>
            <w:r>
              <w:t xml:space="preserve">Spektrum činností presúvaných z obce na </w:t>
            </w:r>
            <w:r>
              <w:t>DEUS v rámci projektu DCOM+ je daný hlavne zachovaním kontinuity na projekt DCOM. Obce a mestá majú v rámci tohto projektu definované spektrum prevádzkových služieb a tiež cenu, ktorú majú za tieto služby platiť. Tieto parametre boli predmetom dlhšieho vyj</w:t>
            </w:r>
            <w:r>
              <w:t>ednávania a vo finále boli potvrdené Radou ZMOS. Preto je rozumné považovať dohodnuté parametre za platné aj pre služby ponúkané obciam v rámci projektu DCOM+.</w:t>
            </w:r>
          </w:p>
          <w:p w:rsidR="00000000" w:rsidRDefault="00EB04A8">
            <w:pPr>
              <w:pStyle w:val="Normlnywebov"/>
            </w:pPr>
            <w:r>
              <w:t>Rozhodujúca časť nákladov na prevádzkovú zmluvu pre projekt DCOM+ sa bude viazať na starostlivos</w:t>
            </w:r>
            <w:r>
              <w:t>ť o koncové zariadenia a o používateľov IS DCOM. Pri predpokladanom prírastku 1073 obcí pôjde len v prípade PC/Tlačiarní o nárast plus 10 735 zariadení. Celkovo (str.29) pribudne do klientskej IT infraštruktúry DCOM zhruba 38 698 koncových zariadení a SW l</w:t>
            </w:r>
            <w:r>
              <w:t>icencií, ktoré budú aktívne používať pracovníci mestských a obecných úradov. Do tejto oblasti spadá aj starostlivosť o školiace prostredie, ktorá nebola riešená v rámci projektu DCOM.</w:t>
            </w:r>
          </w:p>
          <w:p w:rsidR="00000000" w:rsidRDefault="00EB04A8">
            <w:pPr>
              <w:pStyle w:val="Normlnywebov"/>
            </w:pPr>
            <w:r>
              <w:t>Výrazne menšou položkou budú prevádzkové činnosti súvisiace s rozšírením</w:t>
            </w:r>
            <w:r>
              <w:t xml:space="preserve"> centrálnej infraštruktúry (pôvodná centrálna infraštruktúra projektu DCOM má svoju vlastnú prevádzkovú zmluvu). Ide o rozšírenie kapacity na ukladanie dát, ich zálohovanie a archiváciu, automatizovanú správu a monitorovanie koncových zariadení, dokúpenie </w:t>
            </w:r>
            <w:r>
              <w:t>licencií pre centrálne systémové služby (mail, ESB, .....).</w:t>
            </w:r>
          </w:p>
          <w:p w:rsidR="00000000" w:rsidRDefault="00EB04A8">
            <w:pPr>
              <w:pStyle w:val="Normlnywebov"/>
            </w:pPr>
            <w:r>
              <w:t>Údržba a prevádzka aplikačného programového vybavenia sú riešené v rámci servisnej zmluvy na projekt DCOM, preto túto činnosť nie je potrebné riešiť.</w:t>
            </w:r>
          </w:p>
          <w:p w:rsidR="00000000" w:rsidRDefault="00EB04A8">
            <w:pPr>
              <w:pStyle w:val="Normlnywebov"/>
            </w:pPr>
            <w:r>
              <w:t>DEUS disponuje adekvátnym materiálno-technický</w:t>
            </w:r>
            <w:r>
              <w:t>m zázemím a dostatočnými internými kapacitami s náležitou odbornou spôsobilosťou a know-how pre realizáciu a následnú prevádzku projektu v danej oblasti, pričom má čiastočne potrebné zázemie a kapacity zabezpečené prostredníctvom externého dodávateľa.</w:t>
            </w:r>
          </w:p>
          <w:p w:rsidR="00000000" w:rsidRDefault="00EB04A8">
            <w:pPr>
              <w:pStyle w:val="Normlnywebov"/>
            </w:pPr>
            <w:r>
              <w:t>Proj</w:t>
            </w:r>
            <w:r>
              <w:t>ekt DCOM už bol zrealizovaný, spĺňa požiadavky na koordináciu s inými projektmi v rámci prioritnej osi 7 OPII, predložený projekt túto vybudovanú koordináciu využije bez potreby jej ďalšieho koordinovania.</w:t>
            </w:r>
          </w:p>
        </w:tc>
      </w:tr>
      <w:tr w:rsidR="00000000">
        <w:trPr>
          <w:divId w:val="525365262"/>
          <w:cantSplit/>
          <w:tblCellSpacing w:w="15" w:type="dxa"/>
        </w:trPr>
        <w:tc>
          <w:tcPr>
            <w:tcW w:w="0" w:type="auto"/>
            <w:vAlign w:val="center"/>
            <w:hideMark/>
          </w:tcPr>
          <w:p w:rsidR="00000000" w:rsidRDefault="00EB04A8">
            <w:pPr>
              <w:pStyle w:val="Normlnywebov"/>
            </w:pPr>
            <w:r>
              <w:rPr>
                <w:rStyle w:val="Siln"/>
              </w:rPr>
              <w:t>Kritéria kvality</w:t>
            </w:r>
          </w:p>
        </w:tc>
        <w:tc>
          <w:tcPr>
            <w:tcW w:w="0" w:type="auto"/>
            <w:vAlign w:val="center"/>
            <w:hideMark/>
          </w:tcPr>
          <w:p w:rsidR="00000000" w:rsidRDefault="00EB04A8">
            <w:pPr>
              <w:pStyle w:val="Normlnywebov"/>
            </w:pPr>
            <w:r>
              <w:rPr>
                <w:rStyle w:val="Siln"/>
              </w:rPr>
              <w:t>Spresnenie kritéria kvality: Odkazy na relevantné identifikátory kritérií kvality v prílohe, Kritéria kvality.</w:t>
            </w:r>
          </w:p>
        </w:tc>
      </w:tr>
      <w:tr w:rsidR="00000000">
        <w:trPr>
          <w:divId w:val="525365262"/>
          <w:cantSplit/>
          <w:tblCellSpacing w:w="15" w:type="dxa"/>
        </w:trPr>
        <w:tc>
          <w:tcPr>
            <w:tcW w:w="0" w:type="auto"/>
            <w:vAlign w:val="center"/>
            <w:hideMark/>
          </w:tcPr>
          <w:p w:rsidR="00000000" w:rsidRDefault="00EB04A8">
            <w:pPr>
              <w:pStyle w:val="Normlnywebov"/>
            </w:pPr>
            <w:r>
              <w:t> </w:t>
            </w:r>
            <w:r>
              <w:rPr>
                <w:color w:val="000000"/>
                <w:sz w:val="27"/>
                <w:szCs w:val="27"/>
              </w:rPr>
              <w:t xml:space="preserve"> Q12 - </w:t>
            </w:r>
            <w:bookmarkStart w:id="26" w:name="_Toc446408290"/>
            <w:bookmarkEnd w:id="26"/>
            <w:r>
              <w:rPr>
                <w:color w:val="000000"/>
                <w:sz w:val="27"/>
                <w:szCs w:val="27"/>
              </w:rPr>
              <w:t>Preukázal žiadateľ, že disponuje kvalifikovanými kapacitami, ktoré budú schopné realizovať projekt riadne a včas a v súlade s jeho cieľm</w:t>
            </w:r>
            <w:r>
              <w:rPr>
                <w:color w:val="000000"/>
                <w:sz w:val="27"/>
                <w:szCs w:val="27"/>
              </w:rPr>
              <w:t>i?</w:t>
            </w:r>
          </w:p>
          <w:p w:rsidR="00000000" w:rsidRDefault="00EB04A8">
            <w:pPr>
              <w:pStyle w:val="Normlnywebov"/>
            </w:pPr>
            <w:r>
              <w:rPr>
                <w:color w:val="000000"/>
                <w:sz w:val="27"/>
                <w:szCs w:val="27"/>
              </w:rPr>
              <w:t xml:space="preserve">  Q13 - </w:t>
            </w:r>
            <w:bookmarkStart w:id="27" w:name="_Toc446408291"/>
            <w:bookmarkEnd w:id="27"/>
            <w:r>
              <w:rPr>
                <w:color w:val="000000"/>
                <w:sz w:val="27"/>
                <w:szCs w:val="27"/>
              </w:rPr>
              <w:t>Je predložený projekt skoordinovaný s inými projektmi realizovanými v rámci prioritnej osi 7 OP Integrovaná infraštruktúra v pôsobnosti žiadateľa, ak relevantné? </w:t>
            </w:r>
          </w:p>
          <w:p w:rsidR="00000000" w:rsidRDefault="00EB04A8">
            <w:pPr>
              <w:pStyle w:val="Normlnywebov"/>
            </w:pPr>
            <w:r>
              <w:rPr>
                <w:color w:val="000000"/>
                <w:sz w:val="27"/>
                <w:szCs w:val="27"/>
              </w:rPr>
              <w:t xml:space="preserve">Q14 - </w:t>
            </w:r>
            <w:bookmarkStart w:id="28" w:name="_Toc446408292"/>
            <w:bookmarkEnd w:id="28"/>
            <w:r>
              <w:rPr>
                <w:rFonts w:ascii="Arial Narrow" w:hAnsi="Arial Narrow"/>
                <w:color w:val="000000"/>
                <w:sz w:val="18"/>
                <w:szCs w:val="18"/>
              </w:rPr>
              <w:t>Preukázal žiadateľ, že disponuje kvalifikovanými prevádzkovými kapacitami, k</w:t>
            </w:r>
            <w:r>
              <w:rPr>
                <w:rFonts w:ascii="Arial Narrow" w:hAnsi="Arial Narrow"/>
                <w:color w:val="000000"/>
                <w:sz w:val="18"/>
                <w:szCs w:val="18"/>
              </w:rPr>
              <w:t>toré budú schopné prevádzkovať implementované riešenie ?</w:t>
            </w:r>
          </w:p>
        </w:tc>
        <w:tc>
          <w:tcPr>
            <w:tcW w:w="0" w:type="auto"/>
            <w:vAlign w:val="center"/>
            <w:hideMark/>
          </w:tcPr>
          <w:p w:rsidR="00000000" w:rsidRDefault="00EB04A8">
            <w:pPr>
              <w:rPr>
                <w:rFonts w:eastAsia="Times New Roman"/>
              </w:rPr>
            </w:pPr>
            <w:r>
              <w:rPr>
                <w:rFonts w:eastAsia="Times New Roman"/>
              </w:rPr>
              <w:t> </w:t>
            </w:r>
          </w:p>
        </w:tc>
      </w:tr>
      <w:tr w:rsidR="00000000">
        <w:trPr>
          <w:divId w:val="525365262"/>
          <w:cantSplit/>
          <w:tblCellSpacing w:w="15" w:type="dxa"/>
        </w:trPr>
        <w:tc>
          <w:tcPr>
            <w:tcW w:w="0" w:type="auto"/>
            <w:vAlign w:val="center"/>
            <w:hideMark/>
          </w:tcPr>
          <w:p w:rsidR="00000000" w:rsidRDefault="00EB04A8">
            <w:pPr>
              <w:rPr>
                <w:rFonts w:eastAsia="Times New Roman"/>
              </w:rPr>
            </w:pPr>
            <w:r>
              <w:rPr>
                <w:rFonts w:eastAsia="Times New Roman"/>
              </w:rPr>
              <w:t> </w:t>
            </w:r>
            <w:r>
              <w:rPr>
                <w:rStyle w:val="Siln"/>
                <w:rFonts w:eastAsia="Times New Roman"/>
              </w:rPr>
              <w:t>Riziká</w:t>
            </w:r>
          </w:p>
        </w:tc>
        <w:tc>
          <w:tcPr>
            <w:tcW w:w="0" w:type="auto"/>
            <w:vAlign w:val="center"/>
            <w:hideMark/>
          </w:tcPr>
          <w:p w:rsidR="00000000" w:rsidRDefault="00EB04A8">
            <w:pPr>
              <w:rPr>
                <w:rFonts w:eastAsia="Times New Roman"/>
              </w:rPr>
            </w:pPr>
            <w:r>
              <w:rPr>
                <w:rFonts w:eastAsia="Times New Roman"/>
              </w:rPr>
              <w:t> </w:t>
            </w:r>
          </w:p>
          <w:p w:rsidR="00000000" w:rsidRDefault="00EB04A8">
            <w:pPr>
              <w:pStyle w:val="Normlnywebov"/>
            </w:pPr>
            <w:r>
              <w:rPr>
                <w:rStyle w:val="Siln"/>
              </w:rPr>
              <w:t>Spresnenie identifikovaných rizík: Odkazy na relevantné identifikátory rizík v prílohe Riziká</w:t>
            </w:r>
          </w:p>
        </w:tc>
      </w:tr>
      <w:tr w:rsidR="00000000">
        <w:trPr>
          <w:divId w:val="525365262"/>
          <w:cantSplit/>
          <w:tblCellSpacing w:w="15" w:type="dxa"/>
        </w:trPr>
        <w:tc>
          <w:tcPr>
            <w:tcW w:w="0" w:type="auto"/>
            <w:vAlign w:val="center"/>
            <w:hideMark/>
          </w:tcPr>
          <w:p w:rsidR="00000000" w:rsidRDefault="00EB04A8">
            <w:pPr>
              <w:pStyle w:val="Normlnywebov"/>
            </w:pPr>
            <w:r>
              <w:t> </w:t>
            </w:r>
            <w:r>
              <w:rPr>
                <w:color w:val="000000"/>
                <w:sz w:val="27"/>
                <w:szCs w:val="27"/>
              </w:rPr>
              <w:t xml:space="preserve"> R 28 - </w:t>
            </w:r>
            <w:bookmarkStart w:id="29" w:name="_Toc446408324"/>
            <w:bookmarkEnd w:id="29"/>
            <w:r>
              <w:rPr>
                <w:color w:val="000000"/>
                <w:sz w:val="27"/>
                <w:szCs w:val="27"/>
              </w:rPr>
              <w:t>Súčasná prevádzková zmluva na DCOM nie je dostatočne dimenzovaná na nové obce a me</w:t>
            </w:r>
            <w:r>
              <w:rPr>
                <w:color w:val="000000"/>
                <w:sz w:val="27"/>
                <w:szCs w:val="27"/>
              </w:rPr>
              <w:t>stá </w:t>
            </w:r>
          </w:p>
          <w:p w:rsidR="00000000" w:rsidRDefault="00EB04A8">
            <w:pPr>
              <w:pStyle w:val="Normlnywebov"/>
            </w:pPr>
            <w:r>
              <w:rPr>
                <w:color w:val="000000"/>
                <w:sz w:val="27"/>
                <w:szCs w:val="27"/>
              </w:rPr>
              <w:t xml:space="preserve">  R29 - </w:t>
            </w:r>
            <w:bookmarkStart w:id="30" w:name="_Toc446408325"/>
            <w:bookmarkEnd w:id="30"/>
            <w:r>
              <w:rPr>
                <w:color w:val="000000"/>
                <w:sz w:val="27"/>
                <w:szCs w:val="27"/>
              </w:rPr>
              <w:t>Požiadavky obcí a miest na SLA služieb DCOM nemusia byť rovnaké </w:t>
            </w:r>
          </w:p>
          <w:p w:rsidR="00000000" w:rsidRDefault="00EB04A8">
            <w:pPr>
              <w:pStyle w:val="Normlnywebov"/>
            </w:pPr>
            <w:r>
              <w:rPr>
                <w:color w:val="000000"/>
                <w:sz w:val="27"/>
                <w:szCs w:val="27"/>
              </w:rPr>
              <w:t xml:space="preserve">  R30 - </w:t>
            </w:r>
            <w:bookmarkStart w:id="31" w:name="_Toc446408326"/>
            <w:bookmarkEnd w:id="31"/>
            <w:r>
              <w:rPr>
                <w:color w:val="000000"/>
                <w:sz w:val="27"/>
                <w:szCs w:val="27"/>
              </w:rPr>
              <w:t>Služby prevádzky DCOM pre novo pripojené obce nebudú poskytované v rovnakej kvalite ako pre obce ktoré sú už v prevádzke </w:t>
            </w:r>
          </w:p>
          <w:p w:rsidR="00000000" w:rsidRDefault="00EB04A8">
            <w:pPr>
              <w:pStyle w:val="Normlnywebov"/>
            </w:pPr>
            <w:r>
              <w:rPr>
                <w:color w:val="000000"/>
                <w:sz w:val="27"/>
                <w:szCs w:val="27"/>
              </w:rPr>
              <w:t> R31 -  </w:t>
            </w:r>
            <w:bookmarkStart w:id="32" w:name="_Toc427689471"/>
            <w:bookmarkEnd w:id="32"/>
            <w:r>
              <w:rPr>
                <w:rFonts w:ascii="Arial Narrow" w:hAnsi="Arial Narrow"/>
                <w:color w:val="000000"/>
                <w:sz w:val="18"/>
                <w:szCs w:val="18"/>
              </w:rPr>
              <w:t>Reakcia na vyriešenie metodicko-procesne</w:t>
            </w:r>
            <w:r>
              <w:rPr>
                <w:rFonts w:ascii="Arial Narrow" w:hAnsi="Arial Narrow"/>
                <w:color w:val="000000"/>
                <w:sz w:val="18"/>
                <w:szCs w:val="18"/>
              </w:rPr>
              <w:t>j požiadavky bude príliš dlhá.</w:t>
            </w:r>
          </w:p>
        </w:tc>
        <w:tc>
          <w:tcPr>
            <w:tcW w:w="0" w:type="auto"/>
            <w:vAlign w:val="center"/>
            <w:hideMark/>
          </w:tcPr>
          <w:p w:rsidR="00000000" w:rsidRDefault="00EB04A8">
            <w:pPr>
              <w:rPr>
                <w:rFonts w:eastAsia="Times New Roman"/>
              </w:rPr>
            </w:pPr>
            <w:r>
              <w:rPr>
                <w:rFonts w:eastAsia="Times New Roman"/>
              </w:rPr>
              <w:t> </w:t>
            </w:r>
          </w:p>
        </w:tc>
      </w:tr>
      <w:tr w:rsidR="00000000">
        <w:trPr>
          <w:divId w:val="525365262"/>
          <w:cantSplit/>
          <w:tblCellSpacing w:w="15" w:type="dxa"/>
        </w:trPr>
        <w:tc>
          <w:tcPr>
            <w:tcW w:w="0" w:type="auto"/>
            <w:vAlign w:val="center"/>
            <w:hideMark/>
          </w:tcPr>
          <w:p w:rsidR="00000000" w:rsidRDefault="00EB04A8">
            <w:pPr>
              <w:rPr>
                <w:rFonts w:eastAsia="Times New Roman"/>
              </w:rPr>
            </w:pPr>
            <w:r>
              <w:rPr>
                <w:rFonts w:eastAsia="Times New Roman"/>
              </w:rPr>
              <w:t> </w:t>
            </w:r>
            <w:r>
              <w:rPr>
                <w:rStyle w:val="Siln"/>
                <w:rFonts w:eastAsia="Times New Roman"/>
              </w:rPr>
              <w:t>Prílohy</w:t>
            </w:r>
          </w:p>
        </w:tc>
        <w:tc>
          <w:tcPr>
            <w:tcW w:w="0" w:type="auto"/>
            <w:vAlign w:val="center"/>
            <w:hideMark/>
          </w:tcPr>
          <w:p w:rsidR="00000000" w:rsidRDefault="00EB04A8">
            <w:pPr>
              <w:rPr>
                <w:rFonts w:eastAsia="Times New Roman"/>
              </w:rPr>
            </w:pPr>
            <w:r>
              <w:rPr>
                <w:rFonts w:eastAsia="Times New Roman"/>
              </w:rPr>
              <w:t> </w:t>
            </w:r>
          </w:p>
        </w:tc>
      </w:tr>
      <w:tr w:rsidR="00000000">
        <w:trPr>
          <w:divId w:val="525365262"/>
          <w:cantSplit/>
          <w:tblCellSpacing w:w="15" w:type="dxa"/>
        </w:trPr>
        <w:tc>
          <w:tcPr>
            <w:tcW w:w="0" w:type="auto"/>
            <w:vAlign w:val="center"/>
            <w:hideMark/>
          </w:tcPr>
          <w:p w:rsidR="00000000" w:rsidRDefault="00EB04A8">
            <w:pPr>
              <w:pStyle w:val="Normlnywebov"/>
            </w:pPr>
            <w:r>
              <w:rPr>
                <w:rFonts w:ascii="Arial Narrow" w:hAnsi="Arial Narrow"/>
                <w:color w:val="000000"/>
              </w:rPr>
              <w:t>Tabuľka 2 Rizika</w:t>
            </w:r>
          </w:p>
          <w:p w:rsidR="00000000" w:rsidRDefault="00EB04A8">
            <w:pPr>
              <w:pStyle w:val="Normlnywebov"/>
            </w:pPr>
            <w:r>
              <w:rPr>
                <w:rFonts w:ascii="Arial Narrow" w:hAnsi="Arial Narrow"/>
                <w:color w:val="000000"/>
              </w:rPr>
              <w:t>Tabuľka 3 Kritéria kvality</w:t>
            </w:r>
          </w:p>
          <w:p w:rsidR="00000000" w:rsidRDefault="00EB04A8">
            <w:pPr>
              <w:pStyle w:val="Normlnywebov"/>
            </w:pPr>
            <w:r>
              <w:rPr>
                <w:rFonts w:ascii="Arial Narrow" w:hAnsi="Arial Narrow"/>
                <w:color w:val="000000"/>
              </w:rPr>
              <w:t>Tabuľka 31 Dodávateľská podpora</w:t>
            </w:r>
          </w:p>
          <w:p w:rsidR="00000000" w:rsidRDefault="00EB04A8">
            <w:pPr>
              <w:pStyle w:val="Normlnywebov"/>
            </w:pPr>
            <w:r>
              <w:rPr>
                <w:rFonts w:ascii="Arial Narrow" w:hAnsi="Arial Narrow"/>
                <w:color w:val="000000"/>
              </w:rPr>
              <w:t>Tabuľka 32 Podpora vlastnými zdrojmi</w:t>
            </w:r>
          </w:p>
          <w:p w:rsidR="00000000" w:rsidRDefault="00EB04A8">
            <w:pPr>
              <w:pStyle w:val="Normlnywebov"/>
            </w:pPr>
            <w:r>
              <w:rPr>
                <w:rFonts w:ascii="Arial Narrow" w:hAnsi="Arial Narrow"/>
                <w:color w:val="000000"/>
              </w:rPr>
              <w:t>Tabuľka 33 Prostriedky v prenájme</w:t>
            </w:r>
          </w:p>
          <w:p w:rsidR="00000000" w:rsidRDefault="00EB04A8">
            <w:pPr>
              <w:pStyle w:val="Normlnywebov"/>
            </w:pPr>
            <w:r>
              <w:rPr>
                <w:color w:val="000000"/>
                <w:sz w:val="27"/>
                <w:szCs w:val="27"/>
              </w:rPr>
              <w:t> </w:t>
            </w:r>
            <w:r>
              <w:rPr>
                <w:rFonts w:ascii="Arial Narrow" w:hAnsi="Arial Narrow"/>
                <w:color w:val="000000"/>
                <w:sz w:val="18"/>
                <w:szCs w:val="18"/>
              </w:rPr>
              <w:t>SAMOSTATNÁ PRÍLOHA - Špecifikácia požiadaviek na predmet zákazky</w:t>
            </w:r>
          </w:p>
        </w:tc>
        <w:tc>
          <w:tcPr>
            <w:tcW w:w="0" w:type="auto"/>
            <w:vAlign w:val="center"/>
            <w:hideMark/>
          </w:tcPr>
          <w:p w:rsidR="00000000" w:rsidRDefault="00EB04A8">
            <w:pPr>
              <w:pStyle w:val="Normlnywebov"/>
            </w:pPr>
            <w:r>
              <w:rPr>
                <w:rStyle w:val="Zvraznenie"/>
              </w:rPr>
              <w:t>Odkazy na relevantné súbory. Prílohy obsahujú informácie vo forme modelov.</w:t>
            </w:r>
          </w:p>
        </w:tc>
      </w:tr>
    </w:tbl>
    <w:p w:rsidR="00000000" w:rsidRDefault="00EB04A8">
      <w:pPr>
        <w:pStyle w:val="Nadpis3"/>
        <w:rPr>
          <w:rFonts w:eastAsia="Times New Roman"/>
        </w:rPr>
      </w:pPr>
      <w:r>
        <w:rPr>
          <w:rFonts w:eastAsia="Times New Roman"/>
        </w:rPr>
        <w:t>2.4.4.</w:t>
      </w:r>
      <w:r>
        <w:rPr>
          <w:rFonts w:eastAsia="Times New Roman"/>
        </w:rPr>
        <w:t xml:space="preserve"> </w:t>
      </w:r>
      <w:r>
        <w:rPr>
          <w:rStyle w:val="inline-comment-marker"/>
          <w:rFonts w:eastAsia="Times New Roman"/>
        </w:rPr>
        <w:t>Ekonomická analýz</w:t>
      </w:r>
      <w:r>
        <w:rPr>
          <w:rStyle w:val="inline-comment-marker"/>
          <w:rFonts w:eastAsia="Times New Roman"/>
        </w:rPr>
        <w:t>a</w:t>
      </w:r>
    </w:p>
    <w:p w:rsidR="00000000" w:rsidRDefault="00EB04A8">
      <w:pPr>
        <w:pStyle w:val="Normlnywebov"/>
      </w:pPr>
      <w:r>
        <w:rPr>
          <w:rStyle w:val="Zvraznenie"/>
        </w:rPr>
        <w:t>Tabuľka 17 Ekonomická analýza - budúci stav</w:t>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9360"/>
      </w:tblGrid>
      <w:tr w:rsidR="00000000">
        <w:trPr>
          <w:divId w:val="379667350"/>
          <w:cantSplit/>
          <w:tblCellSpacing w:w="15" w:type="dxa"/>
        </w:trPr>
        <w:tc>
          <w:tcPr>
            <w:tcW w:w="0" w:type="auto"/>
            <w:vAlign w:val="center"/>
            <w:hideMark/>
          </w:tcPr>
          <w:p w:rsidR="00000000" w:rsidRDefault="00EB04A8">
            <w:pPr>
              <w:pStyle w:val="Normlnywebov"/>
            </w:pPr>
            <w:r>
              <w:rPr>
                <w:rStyle w:val="Siln"/>
              </w:rPr>
              <w:t>Súhrnný popis</w:t>
            </w:r>
          </w:p>
        </w:tc>
      </w:tr>
      <w:tr w:rsidR="00000000">
        <w:trPr>
          <w:divId w:val="379667350"/>
          <w:cantSplit/>
          <w:tblCellSpacing w:w="15" w:type="dxa"/>
        </w:trPr>
        <w:tc>
          <w:tcPr>
            <w:tcW w:w="0" w:type="auto"/>
            <w:vAlign w:val="center"/>
            <w:hideMark/>
          </w:tcPr>
          <w:p w:rsidR="00000000" w:rsidRDefault="00EB04A8">
            <w:pPr>
              <w:pStyle w:val="Normlnywebov"/>
              <w:ind w:left="900"/>
            </w:pPr>
            <w:r>
              <w:rPr>
                <w:color w:val="000000"/>
                <w:sz w:val="27"/>
                <w:szCs w:val="27"/>
              </w:rPr>
              <w:t> </w:t>
            </w:r>
          </w:p>
          <w:p w:rsidR="00000000" w:rsidRDefault="00EB04A8">
            <w:pPr>
              <w:pStyle w:val="Normlnywebov"/>
              <w:ind w:left="900"/>
            </w:pPr>
            <w:r>
              <w:t>Pri ekonomickej analýze projektu sme uvažovali s viacerými technickými riešeniami, tak ako je to popísané v časti 2.3 Alternatívne riešenia, no v rámci CBA  vyhodnocujeme 2 potenciálne riešenia, pričom uvažovaná alternatíva A predstavuje pokračovanie súčas</w:t>
            </w:r>
            <w:r>
              <w:t>ného modelu zabezpečovania IT podpory pre obce a mestá, ktoré zatiaľ nie sú zapojené do projektu DCOM. Prakticky to znamená, že každá obec si bude riešiť plnenie zákonnej povinnosti poskytovania eSlužieb vlastnými silami v spolupráci so svojimi dodávateľmi</w:t>
            </w:r>
            <w:r>
              <w:t xml:space="preserve"> informačných systémov obcí (ISO). Alternatíva B je riešenie prostredníctvom projektu DCOM+, ktoré predpokladá opakované využitie už vytvorených a používaných centrálnych služieb IS DCOM a ich poskytnutie obciam a mestám, ktoré sa zatiaľ do projektu DCOM n</w:t>
            </w:r>
            <w:r>
              <w:t>ezapojili.</w:t>
            </w:r>
          </w:p>
          <w:p w:rsidR="00000000" w:rsidRDefault="00EB04A8">
            <w:pPr>
              <w:pStyle w:val="Normlnywebov"/>
              <w:ind w:left="900"/>
            </w:pPr>
            <w:r>
              <w:t> </w:t>
            </w:r>
          </w:p>
          <w:p w:rsidR="00000000" w:rsidRDefault="00EB04A8">
            <w:pPr>
              <w:pStyle w:val="Normlnywebov"/>
              <w:spacing w:before="130" w:beforeAutospacing="0" w:after="130" w:afterAutospacing="0"/>
              <w:ind w:left="900"/>
            </w:pPr>
            <w:r>
              <w:rPr>
                <w:rFonts w:ascii="Arial" w:hAnsi="Arial" w:cs="Arial"/>
                <w:sz w:val="21"/>
                <w:szCs w:val="21"/>
              </w:rPr>
              <w:t>Náklady na riešenie v časovom horizonte 10 rokov: </w:t>
            </w:r>
          </w:p>
          <w:p w:rsidR="00000000" w:rsidRDefault="00EB04A8">
            <w:pPr>
              <w:pStyle w:val="Normlnywebov"/>
              <w:ind w:left="900"/>
            </w:pPr>
            <w:r>
              <w:rPr>
                <w:rFonts w:ascii="Arial" w:hAnsi="Arial" w:cs="Arial"/>
                <w:sz w:val="21"/>
                <w:szCs w:val="21"/>
              </w:rPr>
              <w:t>Alternatíva A ................................................................................................ 70 583 772 EUR</w:t>
            </w:r>
          </w:p>
          <w:p w:rsidR="00000000" w:rsidRDefault="00EB04A8">
            <w:pPr>
              <w:pStyle w:val="Normlnywebov"/>
              <w:spacing w:before="130" w:beforeAutospacing="0" w:after="130" w:afterAutospacing="0"/>
              <w:ind w:left="900"/>
            </w:pPr>
            <w:r>
              <w:rPr>
                <w:rFonts w:ascii="Arial" w:hAnsi="Arial" w:cs="Arial"/>
                <w:sz w:val="21"/>
                <w:szCs w:val="21"/>
              </w:rPr>
              <w:t>Alternatíva B ....................................................</w:t>
            </w:r>
            <w:r>
              <w:rPr>
                <w:rFonts w:ascii="Arial" w:hAnsi="Arial" w:cs="Arial"/>
                <w:sz w:val="21"/>
                <w:szCs w:val="21"/>
              </w:rPr>
              <w:t>...........................................  54 927 674 EUR</w:t>
            </w:r>
          </w:p>
          <w:p w:rsidR="00000000" w:rsidRDefault="00EB04A8">
            <w:pPr>
              <w:pStyle w:val="Normlnywebov"/>
              <w:ind w:left="900"/>
            </w:pPr>
            <w:r>
              <w:t> </w:t>
            </w:r>
          </w:p>
          <w:p w:rsidR="00000000" w:rsidRDefault="00EB04A8">
            <w:pPr>
              <w:pStyle w:val="Normlnywebov"/>
              <w:ind w:left="900"/>
            </w:pPr>
            <w:r>
              <w:t>Porovnanie jednotlivých alternatív znázorňuje Tabuľka 17.1.</w:t>
            </w:r>
          </w:p>
          <w:p w:rsidR="00000000" w:rsidRDefault="00EB04A8">
            <w:pPr>
              <w:pStyle w:val="Normlnywebov"/>
              <w:ind w:left="900"/>
            </w:pPr>
            <w:r>
              <w:rPr>
                <w:color w:val="000000"/>
                <w:sz w:val="27"/>
                <w:szCs w:val="27"/>
              </w:rPr>
              <w:t>  </w:t>
            </w:r>
          </w:p>
          <w:p w:rsidR="00000000" w:rsidRDefault="00EB04A8">
            <w:pPr>
              <w:pStyle w:val="Normlnywebov"/>
              <w:ind w:left="900"/>
            </w:pPr>
            <w:r>
              <w:t>Tabuľka 17.1   Porovnanie nákladov na obciach a mestách pri zabezpečovaní elektronických služieb alternatívou A a alternatívou B </w:t>
            </w:r>
          </w:p>
          <w:tbl>
            <w:tblPr>
              <w:tblW w:w="0" w:type="auto"/>
              <w:tblCellSpacing w:w="15" w:type="dxa"/>
              <w:tblInd w:w="900" w:type="dxa"/>
              <w:tblCellMar>
                <w:top w:w="15" w:type="dxa"/>
                <w:left w:w="15" w:type="dxa"/>
                <w:bottom w:w="15" w:type="dxa"/>
                <w:right w:w="15" w:type="dxa"/>
              </w:tblCellMar>
              <w:tblLook w:val="04A0" w:firstRow="1" w:lastRow="0" w:firstColumn="1" w:lastColumn="0" w:noHBand="0" w:noVBand="1"/>
            </w:tblPr>
            <w:tblGrid>
              <w:gridCol w:w="4324"/>
              <w:gridCol w:w="1643"/>
              <w:gridCol w:w="1285"/>
              <w:gridCol w:w="1118"/>
            </w:tblGrid>
            <w:tr w:rsidR="00000000">
              <w:trPr>
                <w:divId w:val="2034843883"/>
                <w:cantSplit/>
                <w:tblCellSpacing w:w="15" w:type="dxa"/>
              </w:trPr>
              <w:tc>
                <w:tcPr>
                  <w:tcW w:w="0" w:type="auto"/>
                  <w:vAlign w:val="center"/>
                  <w:hideMark/>
                </w:tcPr>
                <w:p w:rsidR="00000000" w:rsidRDefault="00EB04A8">
                  <w:pPr>
                    <w:pStyle w:val="Normlnywebov"/>
                    <w:jc w:val="center"/>
                  </w:pPr>
                  <w:r>
                    <w:rPr>
                      <w:rStyle w:val="Siln"/>
                    </w:rPr>
                    <w:t>N</w:t>
                  </w:r>
                  <w:r>
                    <w:rPr>
                      <w:rStyle w:val="Siln"/>
                    </w:rPr>
                    <w:t>ázov položky</w:t>
                  </w:r>
                </w:p>
              </w:tc>
              <w:tc>
                <w:tcPr>
                  <w:tcW w:w="0" w:type="auto"/>
                  <w:vAlign w:val="center"/>
                  <w:hideMark/>
                </w:tcPr>
                <w:p w:rsidR="00000000" w:rsidRDefault="00EB04A8">
                  <w:pPr>
                    <w:pStyle w:val="Normlnywebov"/>
                    <w:jc w:val="center"/>
                  </w:pPr>
                  <w:r>
                    <w:rPr>
                      <w:rStyle w:val="Siln"/>
                    </w:rPr>
                    <w:t>alternatíva A</w:t>
                  </w:r>
                </w:p>
                <w:p w:rsidR="00000000" w:rsidRDefault="00EB04A8">
                  <w:pPr>
                    <w:pStyle w:val="Normlnywebov"/>
                    <w:jc w:val="center"/>
                  </w:pPr>
                  <w:r>
                    <w:rPr>
                      <w:rStyle w:val="Siln"/>
                    </w:rPr>
                    <w:t>(bez   DCOM+)</w:t>
                  </w:r>
                </w:p>
              </w:tc>
              <w:tc>
                <w:tcPr>
                  <w:tcW w:w="0" w:type="auto"/>
                  <w:vAlign w:val="center"/>
                  <w:hideMark/>
                </w:tcPr>
                <w:p w:rsidR="00000000" w:rsidRDefault="00EB04A8">
                  <w:pPr>
                    <w:pStyle w:val="Normlnywebov"/>
                    <w:jc w:val="center"/>
                  </w:pPr>
                  <w:r>
                    <w:rPr>
                      <w:rStyle w:val="Siln"/>
                    </w:rPr>
                    <w:t>alternatíva B</w:t>
                  </w:r>
                </w:p>
                <w:p w:rsidR="00000000" w:rsidRDefault="00EB04A8">
                  <w:pPr>
                    <w:pStyle w:val="Normlnywebov"/>
                    <w:jc w:val="center"/>
                  </w:pPr>
                  <w:r>
                    <w:rPr>
                      <w:rStyle w:val="Siln"/>
                    </w:rPr>
                    <w:t>(DCOM+)</w:t>
                  </w:r>
                </w:p>
              </w:tc>
              <w:tc>
                <w:tcPr>
                  <w:tcW w:w="0" w:type="auto"/>
                  <w:vAlign w:val="center"/>
                  <w:hideMark/>
                </w:tcPr>
                <w:p w:rsidR="00000000" w:rsidRDefault="00EB04A8">
                  <w:pPr>
                    <w:pStyle w:val="Normlnywebov"/>
                    <w:jc w:val="center"/>
                  </w:pPr>
                  <w:r>
                    <w:rPr>
                      <w:rStyle w:val="Siln"/>
                    </w:rPr>
                    <w:t>rozdiel A-B</w:t>
                  </w:r>
                </w:p>
              </w:tc>
            </w:tr>
            <w:tr w:rsidR="00000000">
              <w:trPr>
                <w:divId w:val="2034843883"/>
                <w:cantSplit/>
                <w:tblCellSpacing w:w="15" w:type="dxa"/>
              </w:trPr>
              <w:tc>
                <w:tcPr>
                  <w:tcW w:w="0" w:type="auto"/>
                  <w:vAlign w:val="center"/>
                  <w:hideMark/>
                </w:tcPr>
                <w:p w:rsidR="00000000" w:rsidRDefault="00EB04A8">
                  <w:pPr>
                    <w:pStyle w:val="Normlnywebov"/>
                  </w:pPr>
                  <w:r>
                    <w:t>Sumárne náklady   spojené s SW</w:t>
                  </w:r>
                </w:p>
              </w:tc>
              <w:tc>
                <w:tcPr>
                  <w:tcW w:w="0" w:type="auto"/>
                  <w:vAlign w:val="center"/>
                  <w:hideMark/>
                </w:tcPr>
                <w:p w:rsidR="00000000" w:rsidRDefault="00EB04A8">
                  <w:pPr>
                    <w:pStyle w:val="Normlnywebov"/>
                    <w:jc w:val="right"/>
                  </w:pPr>
                  <w:r>
                    <w:t>28 644 897</w:t>
                  </w:r>
                </w:p>
              </w:tc>
              <w:tc>
                <w:tcPr>
                  <w:tcW w:w="0" w:type="auto"/>
                  <w:vAlign w:val="center"/>
                  <w:hideMark/>
                </w:tcPr>
                <w:p w:rsidR="00000000" w:rsidRDefault="00EB04A8">
                  <w:pPr>
                    <w:pStyle w:val="Normlnywebov"/>
                    <w:jc w:val="right"/>
                  </w:pPr>
                  <w:r>
                    <w:t>23 515 413</w:t>
                  </w:r>
                </w:p>
              </w:tc>
              <w:tc>
                <w:tcPr>
                  <w:tcW w:w="0" w:type="auto"/>
                  <w:vAlign w:val="center"/>
                  <w:hideMark/>
                </w:tcPr>
                <w:p w:rsidR="00000000" w:rsidRDefault="00EB04A8">
                  <w:pPr>
                    <w:pStyle w:val="Normlnywebov"/>
                    <w:jc w:val="right"/>
                  </w:pPr>
                  <w:r>
                    <w:t>5 129 484</w:t>
                  </w:r>
                </w:p>
              </w:tc>
            </w:tr>
            <w:tr w:rsidR="00000000">
              <w:trPr>
                <w:divId w:val="2034843883"/>
                <w:cantSplit/>
                <w:tblCellSpacing w:w="15" w:type="dxa"/>
              </w:trPr>
              <w:tc>
                <w:tcPr>
                  <w:tcW w:w="0" w:type="auto"/>
                  <w:vAlign w:val="center"/>
                  <w:hideMark/>
                </w:tcPr>
                <w:p w:rsidR="00000000" w:rsidRDefault="00EB04A8">
                  <w:pPr>
                    <w:pStyle w:val="Normlnywebov"/>
                  </w:pPr>
                  <w:r>
                    <w:t>Sumárne náklady   spojené s HW</w:t>
                  </w:r>
                </w:p>
              </w:tc>
              <w:tc>
                <w:tcPr>
                  <w:tcW w:w="0" w:type="auto"/>
                  <w:vAlign w:val="center"/>
                  <w:hideMark/>
                </w:tcPr>
                <w:p w:rsidR="00000000" w:rsidRDefault="00EB04A8">
                  <w:pPr>
                    <w:pStyle w:val="Normlnywebov"/>
                    <w:jc w:val="right"/>
                  </w:pPr>
                  <w:r>
                    <w:t>21 787 565</w:t>
                  </w:r>
                </w:p>
              </w:tc>
              <w:tc>
                <w:tcPr>
                  <w:tcW w:w="0" w:type="auto"/>
                  <w:vAlign w:val="center"/>
                  <w:hideMark/>
                </w:tcPr>
                <w:p w:rsidR="00000000" w:rsidRDefault="00EB04A8">
                  <w:pPr>
                    <w:pStyle w:val="Normlnywebov"/>
                    <w:jc w:val="right"/>
                  </w:pPr>
                  <w:r>
                    <w:t>31 412 261</w:t>
                  </w:r>
                </w:p>
              </w:tc>
              <w:tc>
                <w:tcPr>
                  <w:tcW w:w="0" w:type="auto"/>
                  <w:vAlign w:val="center"/>
                  <w:hideMark/>
                </w:tcPr>
                <w:p w:rsidR="00000000" w:rsidRDefault="00EB04A8">
                  <w:pPr>
                    <w:pStyle w:val="Normlnywebov"/>
                    <w:jc w:val="right"/>
                  </w:pPr>
                  <w:r>
                    <w:t>-9 624   696</w:t>
                  </w:r>
                </w:p>
              </w:tc>
            </w:tr>
            <w:tr w:rsidR="00000000">
              <w:trPr>
                <w:divId w:val="2034843883"/>
                <w:cantSplit/>
                <w:tblCellSpacing w:w="15" w:type="dxa"/>
              </w:trPr>
              <w:tc>
                <w:tcPr>
                  <w:tcW w:w="0" w:type="auto"/>
                  <w:vAlign w:val="center"/>
                  <w:hideMark/>
                </w:tcPr>
                <w:p w:rsidR="00000000" w:rsidRDefault="00EB04A8">
                  <w:pPr>
                    <w:pStyle w:val="Normlnywebov"/>
                  </w:pPr>
                  <w:r>
                    <w:t xml:space="preserve">Zvýšené náklady v správe   </w:t>
                  </w:r>
                  <w:r>
                    <w:t>koncových zariadení pri nepoužití DCOM+</w:t>
                  </w:r>
                </w:p>
              </w:tc>
              <w:tc>
                <w:tcPr>
                  <w:tcW w:w="0" w:type="auto"/>
                  <w:vAlign w:val="center"/>
                  <w:hideMark/>
                </w:tcPr>
                <w:p w:rsidR="00000000" w:rsidRDefault="00EB04A8">
                  <w:pPr>
                    <w:pStyle w:val="Normlnywebov"/>
                    <w:jc w:val="right"/>
                  </w:pPr>
                  <w:r>
                    <w:t>19 314 000</w:t>
                  </w:r>
                </w:p>
              </w:tc>
              <w:tc>
                <w:tcPr>
                  <w:tcW w:w="0" w:type="auto"/>
                  <w:vAlign w:val="center"/>
                  <w:hideMark/>
                </w:tcPr>
                <w:p w:rsidR="00000000" w:rsidRDefault="00EB04A8">
                  <w:pPr>
                    <w:pStyle w:val="Normlnywebov"/>
                    <w:jc w:val="right"/>
                  </w:pPr>
                  <w:r>
                    <w:t>0</w:t>
                  </w:r>
                </w:p>
              </w:tc>
              <w:tc>
                <w:tcPr>
                  <w:tcW w:w="0" w:type="auto"/>
                  <w:vAlign w:val="center"/>
                  <w:hideMark/>
                </w:tcPr>
                <w:p w:rsidR="00000000" w:rsidRDefault="00EB04A8">
                  <w:pPr>
                    <w:pStyle w:val="Normlnywebov"/>
                    <w:jc w:val="right"/>
                  </w:pPr>
                  <w:r>
                    <w:t>19 314   000</w:t>
                  </w:r>
                </w:p>
              </w:tc>
            </w:tr>
            <w:tr w:rsidR="00000000">
              <w:trPr>
                <w:divId w:val="2034843883"/>
                <w:cantSplit/>
                <w:tblCellSpacing w:w="15" w:type="dxa"/>
              </w:trPr>
              <w:tc>
                <w:tcPr>
                  <w:tcW w:w="0" w:type="auto"/>
                  <w:vAlign w:val="center"/>
                  <w:hideMark/>
                </w:tcPr>
                <w:p w:rsidR="00000000" w:rsidRDefault="00EB04A8">
                  <w:pPr>
                    <w:pStyle w:val="Normlnywebov"/>
                  </w:pPr>
                  <w:r>
                    <w:t>Zvýšené náklady na   priestory a energie pri nepoužití DCOM+</w:t>
                  </w:r>
                </w:p>
              </w:tc>
              <w:tc>
                <w:tcPr>
                  <w:tcW w:w="0" w:type="auto"/>
                  <w:vAlign w:val="center"/>
                  <w:hideMark/>
                </w:tcPr>
                <w:p w:rsidR="00000000" w:rsidRDefault="00EB04A8">
                  <w:pPr>
                    <w:pStyle w:val="Normlnywebov"/>
                    <w:jc w:val="right"/>
                  </w:pPr>
                  <w:r>
                    <w:t>837 310</w:t>
                  </w:r>
                </w:p>
              </w:tc>
              <w:tc>
                <w:tcPr>
                  <w:tcW w:w="0" w:type="auto"/>
                  <w:vAlign w:val="center"/>
                  <w:hideMark/>
                </w:tcPr>
                <w:p w:rsidR="00000000" w:rsidRDefault="00EB04A8">
                  <w:pPr>
                    <w:pStyle w:val="Normlnywebov"/>
                    <w:jc w:val="right"/>
                  </w:pPr>
                  <w:r>
                    <w:t>0</w:t>
                  </w:r>
                </w:p>
              </w:tc>
              <w:tc>
                <w:tcPr>
                  <w:tcW w:w="0" w:type="auto"/>
                  <w:vAlign w:val="center"/>
                  <w:hideMark/>
                </w:tcPr>
                <w:p w:rsidR="00000000" w:rsidRDefault="00EB04A8">
                  <w:pPr>
                    <w:pStyle w:val="Normlnywebov"/>
                    <w:jc w:val="right"/>
                  </w:pPr>
                  <w:r>
                    <w:t>837 310</w:t>
                  </w:r>
                </w:p>
              </w:tc>
            </w:tr>
            <w:tr w:rsidR="00000000">
              <w:trPr>
                <w:divId w:val="2034843883"/>
                <w:cantSplit/>
                <w:tblCellSpacing w:w="15" w:type="dxa"/>
              </w:trPr>
              <w:tc>
                <w:tcPr>
                  <w:tcW w:w="0" w:type="auto"/>
                  <w:vAlign w:val="center"/>
                  <w:hideMark/>
                </w:tcPr>
                <w:p w:rsidR="00000000" w:rsidRDefault="00EB04A8">
                  <w:pPr>
                    <w:pStyle w:val="Normlnywebov"/>
                  </w:pPr>
                  <w:r>
                    <w:rPr>
                      <w:rStyle w:val="Siln"/>
                    </w:rPr>
                    <w:t>Spolu</w:t>
                  </w:r>
                </w:p>
              </w:tc>
              <w:tc>
                <w:tcPr>
                  <w:tcW w:w="0" w:type="auto"/>
                  <w:vAlign w:val="center"/>
                  <w:hideMark/>
                </w:tcPr>
                <w:p w:rsidR="00000000" w:rsidRDefault="00EB04A8">
                  <w:pPr>
                    <w:pStyle w:val="Normlnywebov"/>
                    <w:jc w:val="right"/>
                  </w:pPr>
                  <w:r>
                    <w:rPr>
                      <w:rStyle w:val="Siln"/>
                    </w:rPr>
                    <w:t>70 583 772</w:t>
                  </w:r>
                </w:p>
              </w:tc>
              <w:tc>
                <w:tcPr>
                  <w:tcW w:w="0" w:type="auto"/>
                  <w:vAlign w:val="center"/>
                  <w:hideMark/>
                </w:tcPr>
                <w:p w:rsidR="00000000" w:rsidRDefault="00EB04A8">
                  <w:pPr>
                    <w:pStyle w:val="Normlnywebov"/>
                    <w:jc w:val="right"/>
                  </w:pPr>
                  <w:r>
                    <w:rPr>
                      <w:rStyle w:val="Siln"/>
                    </w:rPr>
                    <w:t>54 927 674</w:t>
                  </w:r>
                </w:p>
              </w:tc>
              <w:tc>
                <w:tcPr>
                  <w:tcW w:w="0" w:type="auto"/>
                  <w:vAlign w:val="center"/>
                  <w:hideMark/>
                </w:tcPr>
                <w:p w:rsidR="00000000" w:rsidRDefault="00EB04A8">
                  <w:pPr>
                    <w:pStyle w:val="Normlnywebov"/>
                    <w:jc w:val="right"/>
                  </w:pPr>
                  <w:r>
                    <w:rPr>
                      <w:rStyle w:val="Siln"/>
                    </w:rPr>
                    <w:t>15 656 098</w:t>
                  </w:r>
                </w:p>
              </w:tc>
            </w:tr>
          </w:tbl>
          <w:p w:rsidR="00000000" w:rsidRDefault="00EB04A8">
            <w:pPr>
              <w:pStyle w:val="Normlnywebov"/>
              <w:ind w:left="900"/>
            </w:pPr>
            <w:r>
              <w:t> </w:t>
            </w:r>
          </w:p>
          <w:p w:rsidR="00000000" w:rsidRDefault="00EB04A8">
            <w:pPr>
              <w:pStyle w:val="Normlnywebov"/>
              <w:ind w:left="900"/>
            </w:pPr>
            <w:r>
              <w:t> </w:t>
            </w:r>
          </w:p>
          <w:p w:rsidR="00000000" w:rsidRDefault="00EB04A8">
            <w:pPr>
              <w:pStyle w:val="Normlnywebov"/>
              <w:ind w:left="900"/>
            </w:pPr>
            <w:r>
              <w:t>Ako je zrejmé z </w:t>
            </w:r>
            <w:r>
              <w:t xml:space="preserve">tabuľky 17.1, úspora, ktorá by vznikla realizáciou projektu DCOM+ oproti samostatným riešeniam na strane obcí a miest predstavuje sumu 15 656 098 EUR (teda 22,18 %), čo je v priemere 1 565 609,80 EUR na 1 rok a 1073 obcí, resp. 1459 EUR na 1 rok a 1 obec. </w:t>
            </w:r>
            <w:r>
              <w:t>Táto úspora vznikla najmä pri správe koncových zariadení na obciach vo forme personálnych nákladov na technika obce (lokálneho informatika), zabezpečenie elektronických služieb, poplatku za licenciu „Dane a poplatky“, nižších nákladov na obstaranie serveru</w:t>
            </w:r>
            <w:r>
              <w:t xml:space="preserve"> v obciach a spotrebe elektrickej energie tohto servera. Tieto úspory sú znázornené v tabuľke 17.2.</w:t>
            </w:r>
          </w:p>
          <w:p w:rsidR="00000000" w:rsidRDefault="00EB04A8">
            <w:pPr>
              <w:pStyle w:val="Normlnywebov"/>
              <w:ind w:left="900"/>
            </w:pPr>
            <w:r>
              <w:rPr>
                <w:color w:val="000000"/>
                <w:sz w:val="27"/>
                <w:szCs w:val="27"/>
              </w:rPr>
              <w:t> </w:t>
            </w:r>
          </w:p>
          <w:p w:rsidR="00000000" w:rsidRDefault="00EB04A8">
            <w:pPr>
              <w:pStyle w:val="Normlnywebov"/>
              <w:ind w:left="900"/>
            </w:pPr>
            <w:r>
              <w:t>Tabuľka 17.2  Porovnanie vybranej skupiny ročných nákladov priemerne veľkej obce (cca 1100 obyvateľov a 6,5 PC/NB na obec) v EUR s DPH</w:t>
            </w:r>
          </w:p>
          <w:p w:rsidR="00000000" w:rsidRDefault="00EB04A8">
            <w:pPr>
              <w:pStyle w:val="Normlnywebov"/>
              <w:ind w:left="900"/>
            </w:pPr>
            <w:r>
              <w:rPr>
                <w:color w:val="000000"/>
                <w:sz w:val="27"/>
                <w:szCs w:val="27"/>
              </w:rPr>
              <w:t> </w:t>
            </w:r>
          </w:p>
          <w:tbl>
            <w:tblPr>
              <w:tblW w:w="0" w:type="auto"/>
              <w:tblCellSpacing w:w="15" w:type="dxa"/>
              <w:tblInd w:w="900" w:type="dxa"/>
              <w:tblCellMar>
                <w:top w:w="15" w:type="dxa"/>
                <w:left w:w="15" w:type="dxa"/>
                <w:bottom w:w="15" w:type="dxa"/>
                <w:right w:w="15" w:type="dxa"/>
              </w:tblCellMar>
              <w:tblLook w:val="04A0" w:firstRow="1" w:lastRow="0" w:firstColumn="1" w:lastColumn="0" w:noHBand="0" w:noVBand="1"/>
            </w:tblPr>
            <w:tblGrid>
              <w:gridCol w:w="2585"/>
              <w:gridCol w:w="1810"/>
              <w:gridCol w:w="1723"/>
              <w:gridCol w:w="2117"/>
              <w:gridCol w:w="135"/>
            </w:tblGrid>
            <w:tr w:rsidR="00000000">
              <w:trPr>
                <w:divId w:val="233780736"/>
                <w:cantSplit/>
                <w:tblCellSpacing w:w="15" w:type="dxa"/>
              </w:trPr>
              <w:tc>
                <w:tcPr>
                  <w:tcW w:w="0" w:type="auto"/>
                  <w:vMerge w:val="restart"/>
                  <w:vAlign w:val="center"/>
                  <w:hideMark/>
                </w:tcPr>
                <w:p w:rsidR="00000000" w:rsidRDefault="00EB04A8">
                  <w:pPr>
                    <w:pStyle w:val="Normlnywebov"/>
                    <w:jc w:val="center"/>
                  </w:pPr>
                  <w:r>
                    <w:rPr>
                      <w:rStyle w:val="Siln"/>
                    </w:rPr>
                    <w:t>Názov   položky</w:t>
                  </w:r>
                </w:p>
              </w:tc>
              <w:tc>
                <w:tcPr>
                  <w:tcW w:w="0" w:type="auto"/>
                  <w:vMerge w:val="restart"/>
                  <w:vAlign w:val="center"/>
                  <w:hideMark/>
                </w:tcPr>
                <w:p w:rsidR="00000000" w:rsidRDefault="00EB04A8">
                  <w:pPr>
                    <w:pStyle w:val="Normlnywebov"/>
                    <w:jc w:val="center"/>
                  </w:pPr>
                  <w:r>
                    <w:rPr>
                      <w:rStyle w:val="Siln"/>
                    </w:rPr>
                    <w:t>a</w:t>
                  </w:r>
                  <w:r>
                    <w:rPr>
                      <w:rStyle w:val="Siln"/>
                    </w:rPr>
                    <w:t>lternatíva   A (bez DCOM+)</w:t>
                  </w:r>
                </w:p>
              </w:tc>
              <w:tc>
                <w:tcPr>
                  <w:tcW w:w="0" w:type="auto"/>
                  <w:vMerge w:val="restart"/>
                  <w:vAlign w:val="center"/>
                  <w:hideMark/>
                </w:tcPr>
                <w:p w:rsidR="00000000" w:rsidRDefault="00EB04A8">
                  <w:pPr>
                    <w:pStyle w:val="Normlnywebov"/>
                    <w:jc w:val="center"/>
                  </w:pPr>
                  <w:r>
                    <w:rPr>
                      <w:rStyle w:val="Siln"/>
                    </w:rPr>
                    <w:t>alternatíva   B (DCOM+)</w:t>
                  </w:r>
                </w:p>
              </w:tc>
              <w:tc>
                <w:tcPr>
                  <w:tcW w:w="0" w:type="auto"/>
                  <w:vMerge w:val="restart"/>
                  <w:vAlign w:val="center"/>
                  <w:hideMark/>
                </w:tcPr>
                <w:p w:rsidR="00000000" w:rsidRDefault="00EB04A8">
                  <w:pPr>
                    <w:pStyle w:val="Normlnywebov"/>
                    <w:jc w:val="center"/>
                  </w:pPr>
                  <w:r>
                    <w:rPr>
                      <w:rStyle w:val="Siln"/>
                    </w:rPr>
                    <w:t>Ročná   úspora z pohľadu priemernej obce</w:t>
                  </w:r>
                </w:p>
              </w:tc>
              <w:tc>
                <w:tcPr>
                  <w:tcW w:w="0" w:type="auto"/>
                  <w:vAlign w:val="center"/>
                  <w:hideMark/>
                </w:tcPr>
                <w:p w:rsidR="00000000" w:rsidRDefault="00EB04A8">
                  <w:pPr>
                    <w:pStyle w:val="Normlnywebov"/>
                  </w:pPr>
                  <w:r>
                    <w:t> </w:t>
                  </w:r>
                </w:p>
              </w:tc>
            </w:tr>
            <w:tr w:rsidR="00000000">
              <w:trPr>
                <w:divId w:val="233780736"/>
                <w:cantSplit/>
                <w:tblCellSpacing w:w="15" w:type="dxa"/>
              </w:trPr>
              <w:tc>
                <w:tcPr>
                  <w:tcW w:w="0" w:type="auto"/>
                  <w:vMerge/>
                  <w:vAlign w:val="center"/>
                  <w:hideMark/>
                </w:tcPr>
                <w:p w:rsidR="00000000" w:rsidRDefault="00EB04A8"/>
              </w:tc>
              <w:tc>
                <w:tcPr>
                  <w:tcW w:w="0" w:type="auto"/>
                  <w:vMerge/>
                  <w:vAlign w:val="center"/>
                  <w:hideMark/>
                </w:tcPr>
                <w:p w:rsidR="00000000" w:rsidRDefault="00EB04A8"/>
              </w:tc>
              <w:tc>
                <w:tcPr>
                  <w:tcW w:w="0" w:type="auto"/>
                  <w:vMerge/>
                  <w:vAlign w:val="center"/>
                  <w:hideMark/>
                </w:tcPr>
                <w:p w:rsidR="00000000" w:rsidRDefault="00EB04A8"/>
              </w:tc>
              <w:tc>
                <w:tcPr>
                  <w:tcW w:w="0" w:type="auto"/>
                  <w:vMerge/>
                  <w:vAlign w:val="center"/>
                  <w:hideMark/>
                </w:tcPr>
                <w:p w:rsidR="00000000" w:rsidRDefault="00EB04A8"/>
              </w:tc>
              <w:tc>
                <w:tcPr>
                  <w:tcW w:w="0" w:type="auto"/>
                  <w:vAlign w:val="center"/>
                  <w:hideMark/>
                </w:tcPr>
                <w:p w:rsidR="00000000" w:rsidRDefault="00EB04A8">
                  <w:pPr>
                    <w:pStyle w:val="Normlnywebov"/>
                  </w:pPr>
                  <w:r>
                    <w:t> </w:t>
                  </w:r>
                </w:p>
              </w:tc>
            </w:tr>
            <w:tr w:rsidR="00000000">
              <w:trPr>
                <w:divId w:val="233780736"/>
                <w:cantSplit/>
                <w:tblCellSpacing w:w="15" w:type="dxa"/>
              </w:trPr>
              <w:tc>
                <w:tcPr>
                  <w:tcW w:w="0" w:type="auto"/>
                  <w:vAlign w:val="center"/>
                  <w:hideMark/>
                </w:tcPr>
                <w:p w:rsidR="00000000" w:rsidRDefault="00EB04A8">
                  <w:pPr>
                    <w:pStyle w:val="Normlnywebov"/>
                  </w:pPr>
                  <w:r>
                    <w:t>1. SW za   Dane a poplatky</w:t>
                  </w:r>
                </w:p>
              </w:tc>
              <w:tc>
                <w:tcPr>
                  <w:tcW w:w="0" w:type="auto"/>
                  <w:vAlign w:val="center"/>
                  <w:hideMark/>
                </w:tcPr>
                <w:p w:rsidR="00000000" w:rsidRDefault="00EB04A8">
                  <w:pPr>
                    <w:pStyle w:val="Normlnywebov"/>
                    <w:jc w:val="right"/>
                  </w:pPr>
                  <w:r>
                    <w:t>150,00</w:t>
                  </w:r>
                </w:p>
              </w:tc>
              <w:tc>
                <w:tcPr>
                  <w:tcW w:w="0" w:type="auto"/>
                  <w:vAlign w:val="center"/>
                  <w:hideMark/>
                </w:tcPr>
                <w:p w:rsidR="00000000" w:rsidRDefault="00EB04A8">
                  <w:pPr>
                    <w:pStyle w:val="Normlnywebov"/>
                    <w:jc w:val="right"/>
                  </w:pPr>
                  <w:r>
                    <w:t>0,00</w:t>
                  </w:r>
                </w:p>
              </w:tc>
              <w:tc>
                <w:tcPr>
                  <w:tcW w:w="0" w:type="auto"/>
                  <w:vAlign w:val="center"/>
                  <w:hideMark/>
                </w:tcPr>
                <w:p w:rsidR="00000000" w:rsidRDefault="00EB04A8">
                  <w:pPr>
                    <w:pStyle w:val="Normlnywebov"/>
                    <w:jc w:val="right"/>
                  </w:pPr>
                  <w:r>
                    <w:t>150,00</w:t>
                  </w:r>
                </w:p>
              </w:tc>
              <w:tc>
                <w:tcPr>
                  <w:tcW w:w="0" w:type="auto"/>
                  <w:vAlign w:val="center"/>
                  <w:hideMark/>
                </w:tcPr>
                <w:p w:rsidR="00000000" w:rsidRDefault="00EB04A8">
                  <w:pPr>
                    <w:pStyle w:val="Normlnywebov"/>
                  </w:pPr>
                  <w:r>
                    <w:t> </w:t>
                  </w:r>
                </w:p>
              </w:tc>
            </w:tr>
            <w:tr w:rsidR="00000000">
              <w:trPr>
                <w:divId w:val="233780736"/>
                <w:cantSplit/>
                <w:tblCellSpacing w:w="15" w:type="dxa"/>
              </w:trPr>
              <w:tc>
                <w:tcPr>
                  <w:tcW w:w="0" w:type="auto"/>
                  <w:vAlign w:val="center"/>
                  <w:hideMark/>
                </w:tcPr>
                <w:p w:rsidR="00000000" w:rsidRDefault="00EB04A8">
                  <w:pPr>
                    <w:pStyle w:val="Normlnywebov"/>
                  </w:pPr>
                  <w:r>
                    <w:t>2.   Elektronické služby</w:t>
                  </w:r>
                </w:p>
              </w:tc>
              <w:tc>
                <w:tcPr>
                  <w:tcW w:w="0" w:type="auto"/>
                  <w:vAlign w:val="center"/>
                  <w:hideMark/>
                </w:tcPr>
                <w:p w:rsidR="00000000" w:rsidRDefault="00EB04A8">
                  <w:pPr>
                    <w:pStyle w:val="Normlnywebov"/>
                    <w:jc w:val="right"/>
                  </w:pPr>
                  <w:r>
                    <w:t>445,00</w:t>
                  </w:r>
                </w:p>
              </w:tc>
              <w:tc>
                <w:tcPr>
                  <w:tcW w:w="0" w:type="auto"/>
                  <w:vAlign w:val="center"/>
                  <w:hideMark/>
                </w:tcPr>
                <w:p w:rsidR="00000000" w:rsidRDefault="00EB04A8">
                  <w:pPr>
                    <w:pStyle w:val="Normlnywebov"/>
                    <w:jc w:val="right"/>
                  </w:pPr>
                  <w:r>
                    <w:t>0,00</w:t>
                  </w:r>
                </w:p>
              </w:tc>
              <w:tc>
                <w:tcPr>
                  <w:tcW w:w="0" w:type="auto"/>
                  <w:vAlign w:val="center"/>
                  <w:hideMark/>
                </w:tcPr>
                <w:p w:rsidR="00000000" w:rsidRDefault="00EB04A8">
                  <w:pPr>
                    <w:pStyle w:val="Normlnywebov"/>
                    <w:jc w:val="right"/>
                  </w:pPr>
                  <w:r>
                    <w:t>445,00</w:t>
                  </w:r>
                </w:p>
              </w:tc>
              <w:tc>
                <w:tcPr>
                  <w:tcW w:w="0" w:type="auto"/>
                  <w:vAlign w:val="center"/>
                  <w:hideMark/>
                </w:tcPr>
                <w:p w:rsidR="00000000" w:rsidRDefault="00EB04A8">
                  <w:pPr>
                    <w:pStyle w:val="Normlnywebov"/>
                  </w:pPr>
                  <w:r>
                    <w:t> </w:t>
                  </w:r>
                </w:p>
              </w:tc>
            </w:tr>
            <w:tr w:rsidR="00000000">
              <w:trPr>
                <w:divId w:val="233780736"/>
                <w:cantSplit/>
                <w:tblCellSpacing w:w="15" w:type="dxa"/>
              </w:trPr>
              <w:tc>
                <w:tcPr>
                  <w:tcW w:w="0" w:type="auto"/>
                  <w:vAlign w:val="center"/>
                  <w:hideMark/>
                </w:tcPr>
                <w:p w:rsidR="00000000" w:rsidRDefault="00EB04A8">
                  <w:pPr>
                    <w:pStyle w:val="Normlnywebov"/>
                  </w:pPr>
                  <w:r>
                    <w:t>3. Server   (Obstaranie)</w:t>
                  </w:r>
                </w:p>
              </w:tc>
              <w:tc>
                <w:tcPr>
                  <w:tcW w:w="0" w:type="auto"/>
                  <w:vAlign w:val="center"/>
                  <w:hideMark/>
                </w:tcPr>
                <w:p w:rsidR="00000000" w:rsidRDefault="00EB04A8">
                  <w:pPr>
                    <w:pStyle w:val="Normlnywebov"/>
                    <w:jc w:val="right"/>
                  </w:pPr>
                  <w:r>
                    <w:t>227,70</w:t>
                  </w:r>
                </w:p>
              </w:tc>
              <w:tc>
                <w:tcPr>
                  <w:tcW w:w="0" w:type="auto"/>
                  <w:vAlign w:val="center"/>
                  <w:hideMark/>
                </w:tcPr>
                <w:p w:rsidR="00000000" w:rsidRDefault="00EB04A8">
                  <w:pPr>
                    <w:pStyle w:val="Normlnywebov"/>
                    <w:jc w:val="right"/>
                  </w:pPr>
                  <w:r>
                    <w:t>139,40</w:t>
                  </w:r>
                </w:p>
              </w:tc>
              <w:tc>
                <w:tcPr>
                  <w:tcW w:w="0" w:type="auto"/>
                  <w:vAlign w:val="center"/>
                  <w:hideMark/>
                </w:tcPr>
                <w:p w:rsidR="00000000" w:rsidRDefault="00EB04A8">
                  <w:pPr>
                    <w:pStyle w:val="Normlnywebov"/>
                    <w:jc w:val="right"/>
                  </w:pPr>
                  <w:r>
                    <w:t>88,30</w:t>
                  </w:r>
                </w:p>
              </w:tc>
              <w:tc>
                <w:tcPr>
                  <w:tcW w:w="0" w:type="auto"/>
                  <w:vAlign w:val="center"/>
                  <w:hideMark/>
                </w:tcPr>
                <w:p w:rsidR="00000000" w:rsidRDefault="00EB04A8">
                  <w:pPr>
                    <w:pStyle w:val="Normlnywebov"/>
                  </w:pPr>
                  <w:r>
                    <w:t> </w:t>
                  </w:r>
                </w:p>
              </w:tc>
            </w:tr>
            <w:tr w:rsidR="00000000">
              <w:trPr>
                <w:divId w:val="233780736"/>
                <w:cantSplit/>
                <w:tblCellSpacing w:w="15" w:type="dxa"/>
              </w:trPr>
              <w:tc>
                <w:tcPr>
                  <w:tcW w:w="0" w:type="auto"/>
                  <w:vAlign w:val="center"/>
                  <w:hideMark/>
                </w:tcPr>
                <w:p w:rsidR="00000000" w:rsidRDefault="00EB04A8">
                  <w:pPr>
                    <w:pStyle w:val="Normlnywebov"/>
                  </w:pPr>
                  <w:r>
                    <w:t xml:space="preserve">4. Správa </w:t>
                  </w:r>
                  <w:r>
                    <w:t>  koncových zariadení technikom obce*</w:t>
                  </w:r>
                </w:p>
              </w:tc>
              <w:tc>
                <w:tcPr>
                  <w:tcW w:w="0" w:type="auto"/>
                  <w:vAlign w:val="center"/>
                  <w:hideMark/>
                </w:tcPr>
                <w:p w:rsidR="00000000" w:rsidRDefault="00EB04A8">
                  <w:pPr>
                    <w:pStyle w:val="Normlnywebov"/>
                    <w:jc w:val="right"/>
                  </w:pPr>
                  <w:r>
                    <w:t>1 800,00</w:t>
                  </w:r>
                </w:p>
              </w:tc>
              <w:tc>
                <w:tcPr>
                  <w:tcW w:w="0" w:type="auto"/>
                  <w:vAlign w:val="center"/>
                  <w:hideMark/>
                </w:tcPr>
                <w:p w:rsidR="00000000" w:rsidRDefault="00EB04A8">
                  <w:pPr>
                    <w:pStyle w:val="Normlnywebov"/>
                    <w:jc w:val="right"/>
                  </w:pPr>
                  <w:r>
                    <w:t>0,00</w:t>
                  </w:r>
                </w:p>
              </w:tc>
              <w:tc>
                <w:tcPr>
                  <w:tcW w:w="0" w:type="auto"/>
                  <w:vAlign w:val="center"/>
                  <w:hideMark/>
                </w:tcPr>
                <w:p w:rsidR="00000000" w:rsidRDefault="00EB04A8">
                  <w:pPr>
                    <w:pStyle w:val="Normlnywebov"/>
                    <w:jc w:val="right"/>
                  </w:pPr>
                  <w:r>
                    <w:t>1 800,00</w:t>
                  </w:r>
                </w:p>
              </w:tc>
              <w:tc>
                <w:tcPr>
                  <w:tcW w:w="0" w:type="auto"/>
                  <w:vAlign w:val="center"/>
                  <w:hideMark/>
                </w:tcPr>
                <w:p w:rsidR="00000000" w:rsidRDefault="00EB04A8">
                  <w:pPr>
                    <w:pStyle w:val="Normlnywebov"/>
                  </w:pPr>
                  <w:r>
                    <w:t> </w:t>
                  </w:r>
                </w:p>
              </w:tc>
            </w:tr>
            <w:tr w:rsidR="00000000">
              <w:trPr>
                <w:divId w:val="233780736"/>
                <w:cantSplit/>
                <w:tblCellSpacing w:w="15" w:type="dxa"/>
              </w:trPr>
              <w:tc>
                <w:tcPr>
                  <w:tcW w:w="0" w:type="auto"/>
                  <w:vAlign w:val="center"/>
                  <w:hideMark/>
                </w:tcPr>
                <w:p w:rsidR="00000000" w:rsidRDefault="00EB04A8">
                  <w:pPr>
                    <w:pStyle w:val="Normlnywebov"/>
                  </w:pPr>
                  <w:r>
                    <w:t>5. Náklady   na energie**</w:t>
                  </w:r>
                </w:p>
              </w:tc>
              <w:tc>
                <w:tcPr>
                  <w:tcW w:w="0" w:type="auto"/>
                  <w:vAlign w:val="center"/>
                  <w:hideMark/>
                </w:tcPr>
                <w:p w:rsidR="00000000" w:rsidRDefault="00EB04A8">
                  <w:pPr>
                    <w:pStyle w:val="Normlnywebov"/>
                    <w:jc w:val="right"/>
                  </w:pPr>
                  <w:r>
                    <w:t>160,12</w:t>
                  </w:r>
                </w:p>
              </w:tc>
              <w:tc>
                <w:tcPr>
                  <w:tcW w:w="0" w:type="auto"/>
                  <w:vAlign w:val="center"/>
                  <w:hideMark/>
                </w:tcPr>
                <w:p w:rsidR="00000000" w:rsidRDefault="00EB04A8">
                  <w:pPr>
                    <w:pStyle w:val="Normlnywebov"/>
                    <w:jc w:val="right"/>
                  </w:pPr>
                  <w:r>
                    <w:t>82,09</w:t>
                  </w:r>
                </w:p>
              </w:tc>
              <w:tc>
                <w:tcPr>
                  <w:tcW w:w="0" w:type="auto"/>
                  <w:vAlign w:val="center"/>
                  <w:hideMark/>
                </w:tcPr>
                <w:p w:rsidR="00000000" w:rsidRDefault="00EB04A8">
                  <w:pPr>
                    <w:pStyle w:val="Normlnywebov"/>
                    <w:jc w:val="right"/>
                  </w:pPr>
                  <w:r>
                    <w:t>78,03</w:t>
                  </w:r>
                </w:p>
              </w:tc>
              <w:tc>
                <w:tcPr>
                  <w:tcW w:w="0" w:type="auto"/>
                  <w:vAlign w:val="center"/>
                  <w:hideMark/>
                </w:tcPr>
                <w:p w:rsidR="00000000" w:rsidRDefault="00EB04A8">
                  <w:pPr>
                    <w:pStyle w:val="Normlnywebov"/>
                  </w:pPr>
                  <w:r>
                    <w:t> </w:t>
                  </w:r>
                </w:p>
              </w:tc>
            </w:tr>
            <w:tr w:rsidR="00000000">
              <w:trPr>
                <w:divId w:val="233780736"/>
                <w:cantSplit/>
                <w:tblCellSpacing w:w="15" w:type="dxa"/>
              </w:trPr>
              <w:tc>
                <w:tcPr>
                  <w:tcW w:w="0" w:type="auto"/>
                  <w:vAlign w:val="center"/>
                  <w:hideMark/>
                </w:tcPr>
                <w:p w:rsidR="00000000" w:rsidRDefault="00EB04A8">
                  <w:pPr>
                    <w:pStyle w:val="Normlnywebov"/>
                  </w:pPr>
                  <w:r>
                    <w:t>6.   Centrálne komponenty projektu DCOM***</w:t>
                  </w:r>
                </w:p>
              </w:tc>
              <w:tc>
                <w:tcPr>
                  <w:tcW w:w="0" w:type="auto"/>
                  <w:vAlign w:val="center"/>
                  <w:hideMark/>
                </w:tcPr>
                <w:p w:rsidR="00000000" w:rsidRDefault="00EB04A8">
                  <w:pPr>
                    <w:pStyle w:val="Normlnywebov"/>
                    <w:jc w:val="right"/>
                  </w:pPr>
                  <w:r>
                    <w:t>0,00</w:t>
                  </w:r>
                </w:p>
              </w:tc>
              <w:tc>
                <w:tcPr>
                  <w:tcW w:w="0" w:type="auto"/>
                  <w:vAlign w:val="center"/>
                  <w:hideMark/>
                </w:tcPr>
                <w:p w:rsidR="00000000" w:rsidRDefault="00EB04A8">
                  <w:pPr>
                    <w:pStyle w:val="Normlnywebov"/>
                    <w:jc w:val="right"/>
                  </w:pPr>
                  <w:r>
                    <w:t>1 102,24</w:t>
                  </w:r>
                </w:p>
              </w:tc>
              <w:tc>
                <w:tcPr>
                  <w:tcW w:w="0" w:type="auto"/>
                  <w:vAlign w:val="center"/>
                  <w:hideMark/>
                </w:tcPr>
                <w:p w:rsidR="00000000" w:rsidRDefault="00EB04A8">
                  <w:pPr>
                    <w:pStyle w:val="Normlnywebov"/>
                    <w:jc w:val="right"/>
                  </w:pPr>
                  <w:r>
                    <w:t>-1 102,24</w:t>
                  </w:r>
                </w:p>
              </w:tc>
              <w:tc>
                <w:tcPr>
                  <w:tcW w:w="0" w:type="auto"/>
                  <w:vAlign w:val="center"/>
                  <w:hideMark/>
                </w:tcPr>
                <w:p w:rsidR="00000000" w:rsidRDefault="00EB04A8">
                  <w:pPr>
                    <w:pStyle w:val="Normlnywebov"/>
                  </w:pPr>
                  <w:r>
                    <w:t> </w:t>
                  </w:r>
                </w:p>
              </w:tc>
            </w:tr>
            <w:tr w:rsidR="00000000">
              <w:trPr>
                <w:divId w:val="233780736"/>
                <w:cantSplit/>
                <w:tblCellSpacing w:w="15" w:type="dxa"/>
              </w:trPr>
              <w:tc>
                <w:tcPr>
                  <w:tcW w:w="0" w:type="auto"/>
                  <w:vAlign w:val="center"/>
                  <w:hideMark/>
                </w:tcPr>
                <w:p w:rsidR="00000000" w:rsidRDefault="00EB04A8">
                  <w:pPr>
                    <w:pStyle w:val="Normlnywebov"/>
                  </w:pPr>
                  <w:r>
                    <w:rPr>
                      <w:rStyle w:val="Siln"/>
                    </w:rPr>
                    <w:t>Celkové   ročné náklady</w:t>
                  </w:r>
                </w:p>
              </w:tc>
              <w:tc>
                <w:tcPr>
                  <w:tcW w:w="0" w:type="auto"/>
                  <w:vAlign w:val="center"/>
                  <w:hideMark/>
                </w:tcPr>
                <w:p w:rsidR="00000000" w:rsidRDefault="00EB04A8">
                  <w:pPr>
                    <w:pStyle w:val="Normlnywebov"/>
                    <w:jc w:val="right"/>
                  </w:pPr>
                  <w:r>
                    <w:rPr>
                      <w:rStyle w:val="Siln"/>
                    </w:rPr>
                    <w:t xml:space="preserve">2 783 </w:t>
                  </w:r>
                </w:p>
              </w:tc>
              <w:tc>
                <w:tcPr>
                  <w:tcW w:w="0" w:type="auto"/>
                  <w:vAlign w:val="center"/>
                  <w:hideMark/>
                </w:tcPr>
                <w:p w:rsidR="00000000" w:rsidRDefault="00EB04A8">
                  <w:pPr>
                    <w:pStyle w:val="Normlnywebov"/>
                    <w:jc w:val="right"/>
                  </w:pPr>
                  <w:r>
                    <w:rPr>
                      <w:rStyle w:val="Siln"/>
                    </w:rPr>
                    <w:t xml:space="preserve">1 324 </w:t>
                  </w:r>
                </w:p>
              </w:tc>
              <w:tc>
                <w:tcPr>
                  <w:tcW w:w="0" w:type="auto"/>
                  <w:vAlign w:val="center"/>
                  <w:hideMark/>
                </w:tcPr>
                <w:p w:rsidR="00000000" w:rsidRDefault="00EB04A8">
                  <w:pPr>
                    <w:pStyle w:val="Normlnywebov"/>
                    <w:jc w:val="right"/>
                  </w:pPr>
                  <w:r>
                    <w:rPr>
                      <w:rStyle w:val="Siln"/>
                    </w:rPr>
                    <w:t xml:space="preserve">1 459 </w:t>
                  </w:r>
                </w:p>
              </w:tc>
              <w:tc>
                <w:tcPr>
                  <w:tcW w:w="0" w:type="auto"/>
                  <w:vAlign w:val="center"/>
                  <w:hideMark/>
                </w:tcPr>
                <w:p w:rsidR="00000000" w:rsidRDefault="00EB04A8">
                  <w:pPr>
                    <w:pStyle w:val="Normlnywebov"/>
                  </w:pPr>
                  <w:r>
                    <w:t> </w:t>
                  </w:r>
                </w:p>
              </w:tc>
            </w:tr>
          </w:tbl>
          <w:p w:rsidR="00000000" w:rsidRDefault="00EB04A8">
            <w:pPr>
              <w:pStyle w:val="Normlnywebov"/>
              <w:ind w:left="900"/>
            </w:pPr>
            <w:r>
              <w:t> </w:t>
            </w:r>
            <w:r>
              <w:rPr>
                <w:rFonts w:ascii="Arial" w:hAnsi="Arial" w:cs="Arial"/>
                <w:sz w:val="21"/>
                <w:szCs w:val="21"/>
              </w:rPr>
              <w:t>Poznámky:</w:t>
            </w:r>
          </w:p>
          <w:p w:rsidR="00000000" w:rsidRDefault="00EB04A8">
            <w:pPr>
              <w:pStyle w:val="Normlnywebov"/>
              <w:ind w:left="900"/>
            </w:pPr>
            <w:r>
              <w:rPr>
                <w:rFonts w:ascii="Arial" w:hAnsi="Arial" w:cs="Arial"/>
                <w:sz w:val="21"/>
                <w:szCs w:val="21"/>
              </w:rPr>
              <w:t>*Zohľadňuje náklady na výkony lokálneho technika za účelom správy koncových zariadení obce (PC, NB, tlačiarne),</w:t>
            </w:r>
          </w:p>
          <w:p w:rsidR="00000000" w:rsidRDefault="00EB04A8">
            <w:pPr>
              <w:pStyle w:val="Normlnywebov"/>
              <w:ind w:left="900"/>
            </w:pPr>
            <w:r>
              <w:rPr>
                <w:rFonts w:ascii="Arial" w:hAnsi="Arial" w:cs="Arial"/>
                <w:sz w:val="21"/>
                <w:szCs w:val="21"/>
              </w:rPr>
              <w:t>**Zohľadňuje zvýšené náklady na elektrickú energiu, ktoré by obec mala platiť v prípade vlastného riešenia,</w:t>
            </w:r>
          </w:p>
          <w:p w:rsidR="00000000" w:rsidRDefault="00EB04A8">
            <w:pPr>
              <w:pStyle w:val="Normlnywebov"/>
              <w:ind w:left="900"/>
            </w:pPr>
            <w:r>
              <w:rPr>
                <w:rFonts w:ascii="Arial" w:hAnsi="Arial" w:cs="Arial"/>
                <w:sz w:val="21"/>
                <w:szCs w:val="21"/>
              </w:rPr>
              <w:t>***Zohľadňuje komponenty projektu DCOM+ vrátane prevádzky, ktoré z konzervatívneho pohľadu v súčasnom riešení obcí neboli zohľadnené.</w:t>
            </w:r>
          </w:p>
          <w:p w:rsidR="00000000" w:rsidRDefault="00EB04A8">
            <w:pPr>
              <w:pStyle w:val="Normlnywebov"/>
              <w:ind w:left="900"/>
            </w:pPr>
          </w:p>
          <w:p w:rsidR="00000000" w:rsidRDefault="00EB04A8">
            <w:pPr>
              <w:pStyle w:val="Normlnywebov"/>
              <w:ind w:left="900"/>
            </w:pPr>
            <w:r>
              <w:rPr>
                <w:rFonts w:ascii="Arial" w:hAnsi="Arial" w:cs="Arial"/>
                <w:sz w:val="21"/>
                <w:szCs w:val="21"/>
              </w:rPr>
              <w:t>Pri porovnaní oboch alternatív vychádzame z konceptu, že niektoré položky sú v rámci oboch alternatív nákladovo identick</w:t>
            </w:r>
            <w:r>
              <w:rPr>
                <w:rFonts w:ascii="Arial" w:hAnsi="Arial" w:cs="Arial"/>
                <w:sz w:val="21"/>
                <w:szCs w:val="21"/>
              </w:rPr>
              <w:t xml:space="preserve">é (obstaranie SW obce, SW maintenance licencie, SW údržba servera, vzdelávacie aktivity, helpdesk (systémová podpora), server - HW maintenance (opravy), Obstaranie HW obce a maintenance HW obce), čo je veľmi </w:t>
            </w:r>
            <w:r>
              <w:rPr>
                <w:rStyle w:val="Siln"/>
                <w:rFonts w:ascii="Arial" w:hAnsi="Arial" w:cs="Arial"/>
                <w:sz w:val="21"/>
                <w:szCs w:val="21"/>
              </w:rPr>
              <w:t>konzervatívny prístup</w:t>
            </w:r>
            <w:r>
              <w:rPr>
                <w:rFonts w:ascii="Arial" w:hAnsi="Arial" w:cs="Arial"/>
                <w:sz w:val="21"/>
                <w:szCs w:val="21"/>
              </w:rPr>
              <w:t>, nakoľko obstaranie týchto</w:t>
            </w:r>
            <w:r>
              <w:rPr>
                <w:rFonts w:ascii="Arial" w:hAnsi="Arial" w:cs="Arial"/>
                <w:sz w:val="21"/>
                <w:szCs w:val="21"/>
              </w:rPr>
              <w:t xml:space="preserve"> položiek by bolo z pohľadu jednotlivých obcí nevýhodnejšie ako jednotné obstaranie</w:t>
            </w:r>
          </w:p>
          <w:p w:rsidR="00000000" w:rsidRDefault="00EB04A8">
            <w:pPr>
              <w:pStyle w:val="Normlnywebov"/>
              <w:ind w:left="900"/>
            </w:pPr>
            <w:r>
              <w:rPr>
                <w:rFonts w:ascii="Arial" w:hAnsi="Arial" w:cs="Arial"/>
                <w:color w:val="000000"/>
                <w:sz w:val="21"/>
                <w:szCs w:val="21"/>
              </w:rPr>
              <w:t>V rámci porovnania alternatív A a B z pohľadu priemerne veľkej obce (tabuľka 17.2) možno sledovať najväčší rozdiel pri správe koncových zariadení technikom obce, ktorá dosa</w:t>
            </w:r>
            <w:r>
              <w:rPr>
                <w:rFonts w:ascii="Arial" w:hAnsi="Arial" w:cs="Arial"/>
                <w:color w:val="000000"/>
                <w:sz w:val="21"/>
                <w:szCs w:val="21"/>
              </w:rPr>
              <w:t>huje 1 800 EUR za rok/obec. Tento výpočet vychádza z predpokladu, kde hodinová sadzba technika je určená podľa kvalifikovaného odhadu na úrovni 20€ s DPH (z praxe je dokázateľné, že existujú lokálni informatici, ktorých hodinová sadzba je na úrovni 42€ s D</w:t>
            </w:r>
            <w:r>
              <w:rPr>
                <w:rFonts w:ascii="Arial" w:hAnsi="Arial" w:cs="Arial"/>
                <w:color w:val="000000"/>
                <w:sz w:val="21"/>
                <w:szCs w:val="21"/>
              </w:rPr>
              <w:t>PH) a bol presne určený rozsah činností a ich trvanie z hľadiska času. Podrobný výpočet je uvedený v prílohe k CBA, ktorá je súčasťou tejto štúdie uskutočniteľnosti. Z tohto výsledku vyplýva, že mesačné náklady na IT za účelom správy koncových zariadení do</w:t>
            </w:r>
            <w:r>
              <w:rPr>
                <w:rFonts w:ascii="Arial" w:hAnsi="Arial" w:cs="Arial"/>
                <w:color w:val="000000"/>
                <w:sz w:val="21"/>
                <w:szCs w:val="21"/>
              </w:rPr>
              <w:t>sahujú na obci ak by si riešila zabezpečenie eSlužieb vlastným riešením a nie projektom DCOM+, predstavujú 150 EUR mesačne, čo je 1 800 EUR ročne.</w:t>
            </w:r>
          </w:p>
          <w:p w:rsidR="00000000" w:rsidRDefault="00EB04A8">
            <w:pPr>
              <w:pStyle w:val="Normlnywebov"/>
              <w:ind w:left="900"/>
            </w:pPr>
            <w:r>
              <w:t>Ďalšou položkou, v rámci vyššie uvedenej tabuľky je SW za Dane a poplatky, pričom poplatok za licencie Dane a</w:t>
            </w:r>
            <w:r>
              <w:t> poplatky vychádza z reality výšky ušetreného poplatku voči ISO dodávateľovi zo strany obce už zapojených v DCOM a predstavuje 150 EUR za obec ročne.</w:t>
            </w:r>
          </w:p>
          <w:p w:rsidR="00000000" w:rsidRDefault="00EB04A8">
            <w:pPr>
              <w:pStyle w:val="Normlnywebov"/>
              <w:ind w:left="900"/>
            </w:pPr>
            <w:r>
              <w:rPr>
                <w:rFonts w:ascii="Arial" w:hAnsi="Arial" w:cs="Arial"/>
                <w:sz w:val="21"/>
                <w:szCs w:val="21"/>
              </w:rPr>
              <w:t>Pri zabezpečení elektronických služieb sme vychádzali z porovnania konkurenčných ponúk, v rámci ktorých bo</w:t>
            </w:r>
            <w:r>
              <w:rPr>
                <w:rFonts w:ascii="Arial" w:hAnsi="Arial" w:cs="Arial"/>
                <w:sz w:val="21"/>
                <w:szCs w:val="21"/>
              </w:rPr>
              <w:t xml:space="preserve">lo možné stanoviť priemernú cenu za elektronické služby na 445 EUR/rok/obec, čo činí 0,40 EUR/obyvateľ. </w:t>
            </w:r>
          </w:p>
          <w:p w:rsidR="00000000" w:rsidRDefault="00EB04A8">
            <w:pPr>
              <w:pStyle w:val="Normlnywebov"/>
              <w:ind w:left="900"/>
            </w:pPr>
            <w:r>
              <w:t>Náklady na obstaranie servera sú ďalšou položkou, ktorá je z pohľadu porovnania oboch alternatív rozdielna. Pri obstaraní vlastnými zdrojmi by táto pol</w:t>
            </w:r>
            <w:r>
              <w:t>ožka na strane obcí predstavovala náklad na úrovni 227,70 EUR ročne a pri DCOM+ 139,40 EUR ročne. Definovali sme 3 typy serverov podľa kvalifikované odhadu výkonnosti, ktoré sú potrebné pre definované veľkostné štruktúry obcí podľa počtu úradníkov. Na zákl</w:t>
            </w:r>
            <w:r>
              <w:t>ade konzervatívneho odhadu z pohľadu životnosti existujúcich serverov na obciach je životnosť HW  určená na 5 rokov a z tohto titulu bude priemerne  v 3. a 8. roku dochádzať k obmene serverov na obciach a k nákupu nových s výrazne nižším výkonom, nakoľko v</w:t>
            </w:r>
            <w:r>
              <w:t>äčšina agendy bude riešená v Cloude. Práve vďaka zapojeniu obcí cez cloud bude dochádzať ku šetreniu, keďže server s nižším výkonom je lacnejší v porovnaní so serverom s vyšším výkonom.</w:t>
            </w:r>
          </w:p>
          <w:p w:rsidR="00000000" w:rsidRDefault="00EB04A8">
            <w:pPr>
              <w:pStyle w:val="Normlnywebov"/>
              <w:ind w:left="900"/>
            </w:pPr>
            <w:r>
              <w:rPr>
                <w:rFonts w:ascii="Arial" w:hAnsi="Arial" w:cs="Arial"/>
                <w:color w:val="000000"/>
                <w:sz w:val="21"/>
                <w:szCs w:val="21"/>
              </w:rPr>
              <w:t>Podobne dochádza ku šetreniu nielen pri obstaraní serverov, ale aj ich</w:t>
            </w:r>
            <w:r>
              <w:rPr>
                <w:rFonts w:ascii="Arial" w:hAnsi="Arial" w:cs="Arial"/>
                <w:color w:val="000000"/>
                <w:sz w:val="21"/>
                <w:szCs w:val="21"/>
              </w:rPr>
              <w:t xml:space="preserve"> prevádzke vo forme spotrebe elektrickej energie, kde vďaka výmene serverov v obciach za servery s nižšou spotrebou dochádza k priemernému šetreniu na úrovni 78,03 EUR ročne pri cene energie 0,15 EUR/kWh. </w:t>
            </w:r>
          </w:p>
          <w:p w:rsidR="00000000" w:rsidRDefault="00EB04A8">
            <w:pPr>
              <w:pStyle w:val="Normlnywebov"/>
              <w:ind w:left="900"/>
            </w:pPr>
            <w:r>
              <w:rPr>
                <w:rFonts w:ascii="Arial" w:hAnsi="Arial" w:cs="Arial"/>
                <w:color w:val="000000"/>
                <w:sz w:val="21"/>
                <w:szCs w:val="21"/>
              </w:rPr>
              <w:t> </w:t>
            </w:r>
          </w:p>
          <w:p w:rsidR="00000000" w:rsidRDefault="00EB04A8">
            <w:pPr>
              <w:pStyle w:val="Normlnywebov"/>
              <w:ind w:left="900"/>
            </w:pPr>
            <w:r>
              <w:t xml:space="preserve">Podrobné výpočty nákladov sú uvedené v samotnej </w:t>
            </w:r>
            <w:r>
              <w:t>prílohe k CBA - Detailný prepočet CBA nadväzne na náklady obce.</w:t>
            </w:r>
          </w:p>
          <w:p w:rsidR="00000000" w:rsidRDefault="00EB04A8">
            <w:pPr>
              <w:pStyle w:val="Normlnywebov"/>
              <w:ind w:left="900"/>
            </w:pPr>
            <w:r>
              <w:rPr>
                <w:color w:val="000000"/>
                <w:sz w:val="27"/>
                <w:szCs w:val="27"/>
              </w:rPr>
              <w:t>  </w:t>
            </w:r>
          </w:p>
          <w:p w:rsidR="00000000" w:rsidRDefault="00EB04A8">
            <w:pPr>
              <w:pStyle w:val="Normlnywebov"/>
              <w:ind w:left="900"/>
            </w:pPr>
            <w:r>
              <w:t xml:space="preserve">Celkové náklady na projekt (bez prevádzky) sú </w:t>
            </w:r>
            <w:r>
              <w:rPr>
                <w:rStyle w:val="Siln"/>
              </w:rPr>
              <w:t>31 440 257,18 € s DPH</w:t>
            </w:r>
            <w:r>
              <w:t xml:space="preserve"> vrátane nákladov na podporné aktivity vo výške 310 000 EUR s DPH.</w:t>
            </w:r>
          </w:p>
          <w:p w:rsidR="00000000" w:rsidRDefault="00EB04A8">
            <w:pPr>
              <w:pStyle w:val="Normlnywebov"/>
              <w:ind w:left="900"/>
            </w:pPr>
            <w:r>
              <w:rPr>
                <w:color w:val="000000"/>
                <w:sz w:val="27"/>
                <w:szCs w:val="27"/>
              </w:rPr>
              <w:t> </w:t>
            </w:r>
          </w:p>
          <w:p w:rsidR="00000000" w:rsidRDefault="00EB04A8">
            <w:pPr>
              <w:pStyle w:val="Normlnywebov"/>
              <w:ind w:left="900"/>
            </w:pPr>
            <w:r>
              <w:rPr>
                <w:rStyle w:val="Zvraznenie"/>
                <w:color w:val="000000"/>
                <w:sz w:val="27"/>
                <w:szCs w:val="27"/>
              </w:rPr>
              <w:t>Tabuľka 17.3 Indikatívny rozpočet projektu DCOM+ (v E</w:t>
            </w:r>
            <w:r>
              <w:rPr>
                <w:rStyle w:val="Zvraznenie"/>
                <w:color w:val="000000"/>
                <w:sz w:val="27"/>
                <w:szCs w:val="27"/>
              </w:rPr>
              <w:t>UR s DPH)</w:t>
            </w:r>
          </w:p>
          <w:tbl>
            <w:tblPr>
              <w:tblW w:w="0" w:type="auto"/>
              <w:tblCellSpacing w:w="15" w:type="dxa"/>
              <w:tblInd w:w="900" w:type="dxa"/>
              <w:tblCellMar>
                <w:top w:w="15" w:type="dxa"/>
                <w:left w:w="15" w:type="dxa"/>
                <w:bottom w:w="15" w:type="dxa"/>
                <w:right w:w="15" w:type="dxa"/>
              </w:tblCellMar>
              <w:tblLook w:val="04A0" w:firstRow="1" w:lastRow="0" w:firstColumn="1" w:lastColumn="0" w:noHBand="0" w:noVBand="1"/>
            </w:tblPr>
            <w:tblGrid>
              <w:gridCol w:w="1610"/>
              <w:gridCol w:w="2216"/>
              <w:gridCol w:w="3217"/>
              <w:gridCol w:w="1327"/>
            </w:tblGrid>
            <w:tr w:rsidR="00000000">
              <w:trPr>
                <w:divId w:val="2085489718"/>
                <w:cantSplit/>
                <w:tblCellSpacing w:w="15" w:type="dxa"/>
              </w:trPr>
              <w:tc>
                <w:tcPr>
                  <w:tcW w:w="0" w:type="auto"/>
                  <w:vAlign w:val="center"/>
                  <w:hideMark/>
                </w:tcPr>
                <w:p w:rsidR="00000000" w:rsidRDefault="00EB04A8">
                  <w:pPr>
                    <w:pStyle w:val="Normlnywebov"/>
                  </w:pPr>
                  <w:r>
                    <w:t>Prioritná   os</w:t>
                  </w:r>
                </w:p>
              </w:tc>
              <w:tc>
                <w:tcPr>
                  <w:tcW w:w="0" w:type="auto"/>
                  <w:vAlign w:val="center"/>
                  <w:hideMark/>
                </w:tcPr>
                <w:p w:rsidR="00000000" w:rsidRDefault="00EB04A8">
                  <w:pPr>
                    <w:pStyle w:val="Normlnywebov"/>
                  </w:pPr>
                  <w:r>
                    <w:t>Špecifický   cieľ</w:t>
                  </w:r>
                </w:p>
              </w:tc>
              <w:tc>
                <w:tcPr>
                  <w:tcW w:w="0" w:type="auto"/>
                  <w:vAlign w:val="center"/>
                  <w:hideMark/>
                </w:tcPr>
                <w:p w:rsidR="00000000" w:rsidRDefault="00EB04A8">
                  <w:pPr>
                    <w:pStyle w:val="Normlnywebov"/>
                  </w:pPr>
                  <w:r>
                    <w:t>Aktivita</w:t>
                  </w:r>
                </w:p>
              </w:tc>
              <w:tc>
                <w:tcPr>
                  <w:tcW w:w="0" w:type="auto"/>
                  <w:vAlign w:val="center"/>
                  <w:hideMark/>
                </w:tcPr>
                <w:p w:rsidR="00000000" w:rsidRDefault="00EB04A8">
                  <w:pPr>
                    <w:pStyle w:val="Normlnywebov"/>
                  </w:pPr>
                  <w:r>
                    <w:t>Suma s DPH</w:t>
                  </w:r>
                </w:p>
              </w:tc>
            </w:tr>
            <w:tr w:rsidR="00000000">
              <w:trPr>
                <w:divId w:val="2085489718"/>
                <w:cantSplit/>
                <w:tblCellSpacing w:w="15" w:type="dxa"/>
              </w:trPr>
              <w:tc>
                <w:tcPr>
                  <w:tcW w:w="0" w:type="auto"/>
                  <w:vMerge w:val="restart"/>
                  <w:vAlign w:val="center"/>
                  <w:hideMark/>
                </w:tcPr>
                <w:p w:rsidR="00000000" w:rsidRDefault="00EB04A8">
                  <w:pPr>
                    <w:pStyle w:val="Normlnywebov"/>
                  </w:pPr>
                  <w:r>
                    <w:t>7.   Informačná spoločnosť</w:t>
                  </w:r>
                </w:p>
              </w:tc>
              <w:tc>
                <w:tcPr>
                  <w:tcW w:w="0" w:type="auto"/>
                  <w:vMerge w:val="restart"/>
                  <w:vAlign w:val="center"/>
                  <w:hideMark/>
                </w:tcPr>
                <w:p w:rsidR="00000000" w:rsidRDefault="00EB04A8">
                  <w:pPr>
                    <w:pStyle w:val="Normlnywebov"/>
                  </w:pPr>
                  <w:r>
                    <w:t>7.8   Racionalizácia prevádzky informačných systémov pomocou</w:t>
                  </w:r>
                  <w:r>
                    <w:br/>
                    <w:t>  eGovernment cloudu</w:t>
                  </w:r>
                </w:p>
              </w:tc>
              <w:tc>
                <w:tcPr>
                  <w:tcW w:w="0" w:type="auto"/>
                  <w:vAlign w:val="center"/>
                  <w:hideMark/>
                </w:tcPr>
                <w:p w:rsidR="00000000" w:rsidRDefault="00EB04A8">
                  <w:pPr>
                    <w:pStyle w:val="Normlnywebov"/>
                  </w:pPr>
                  <w:r>
                    <w:t>Vybudovanie   IKT infraštruktúry v dátovom centre</w:t>
                  </w:r>
                </w:p>
              </w:tc>
              <w:tc>
                <w:tcPr>
                  <w:tcW w:w="0" w:type="auto"/>
                  <w:vAlign w:val="center"/>
                  <w:hideMark/>
                </w:tcPr>
                <w:p w:rsidR="00000000" w:rsidRDefault="00EB04A8">
                  <w:pPr>
                    <w:pStyle w:val="Normlnywebov"/>
                    <w:jc w:val="right"/>
                  </w:pPr>
                  <w:r>
                    <w:t>1 960   496,40 EUR</w:t>
                  </w:r>
                </w:p>
              </w:tc>
            </w:tr>
            <w:tr w:rsidR="00000000">
              <w:trPr>
                <w:divId w:val="2085489718"/>
                <w:cantSplit/>
                <w:tblCellSpacing w:w="15" w:type="dxa"/>
              </w:trPr>
              <w:tc>
                <w:tcPr>
                  <w:tcW w:w="0" w:type="auto"/>
                  <w:vMerge/>
                  <w:vAlign w:val="center"/>
                  <w:hideMark/>
                </w:tcPr>
                <w:p w:rsidR="00000000" w:rsidRDefault="00EB04A8"/>
              </w:tc>
              <w:tc>
                <w:tcPr>
                  <w:tcW w:w="0" w:type="auto"/>
                  <w:vMerge/>
                  <w:vAlign w:val="center"/>
                  <w:hideMark/>
                </w:tcPr>
                <w:p w:rsidR="00000000" w:rsidRDefault="00EB04A8"/>
              </w:tc>
              <w:tc>
                <w:tcPr>
                  <w:tcW w:w="0" w:type="auto"/>
                  <w:vAlign w:val="center"/>
                  <w:hideMark/>
                </w:tcPr>
                <w:p w:rsidR="00000000" w:rsidRDefault="00EB04A8">
                  <w:pPr>
                    <w:pStyle w:val="Normlnywebov"/>
                  </w:pPr>
                  <w:r>
                    <w:t xml:space="preserve">Migrácia   </w:t>
                  </w:r>
                  <w:r>
                    <w:t>informačných systémov VS do eGovernment cloudu</w:t>
                  </w:r>
                </w:p>
              </w:tc>
              <w:tc>
                <w:tcPr>
                  <w:tcW w:w="0" w:type="auto"/>
                  <w:vAlign w:val="center"/>
                  <w:hideMark/>
                </w:tcPr>
                <w:p w:rsidR="00000000" w:rsidRDefault="00EB04A8">
                  <w:pPr>
                    <w:pStyle w:val="Normlnywebov"/>
                    <w:jc w:val="right"/>
                  </w:pPr>
                  <w:r>
                    <w:t>7 167   846,24 EUR</w:t>
                  </w:r>
                </w:p>
              </w:tc>
            </w:tr>
            <w:tr w:rsidR="00000000">
              <w:trPr>
                <w:divId w:val="2085489718"/>
                <w:cantSplit/>
                <w:tblCellSpacing w:w="15" w:type="dxa"/>
              </w:trPr>
              <w:tc>
                <w:tcPr>
                  <w:tcW w:w="0" w:type="auto"/>
                  <w:vMerge/>
                  <w:vAlign w:val="center"/>
                  <w:hideMark/>
                </w:tcPr>
                <w:p w:rsidR="00000000" w:rsidRDefault="00EB04A8"/>
              </w:tc>
              <w:tc>
                <w:tcPr>
                  <w:tcW w:w="0" w:type="auto"/>
                  <w:vMerge/>
                  <w:vAlign w:val="center"/>
                  <w:hideMark/>
                </w:tcPr>
                <w:p w:rsidR="00000000" w:rsidRDefault="00EB04A8"/>
              </w:tc>
              <w:tc>
                <w:tcPr>
                  <w:tcW w:w="0" w:type="auto"/>
                  <w:vAlign w:val="center"/>
                  <w:hideMark/>
                </w:tcPr>
                <w:p w:rsidR="00000000" w:rsidRDefault="00EB04A8">
                  <w:pPr>
                    <w:pStyle w:val="Normlnywebov"/>
                  </w:pPr>
                  <w:r>
                    <w:t>Zabezpečenie   využívania cloudových služieb</w:t>
                  </w:r>
                </w:p>
              </w:tc>
              <w:tc>
                <w:tcPr>
                  <w:tcW w:w="0" w:type="auto"/>
                  <w:vAlign w:val="center"/>
                  <w:hideMark/>
                </w:tcPr>
                <w:p w:rsidR="00000000" w:rsidRDefault="00EB04A8">
                  <w:pPr>
                    <w:pStyle w:val="Normlnywebov"/>
                    <w:jc w:val="right"/>
                  </w:pPr>
                  <w:r>
                    <w:t>21 269   172,54 EUR</w:t>
                  </w:r>
                </w:p>
              </w:tc>
            </w:tr>
            <w:tr w:rsidR="00000000">
              <w:trPr>
                <w:divId w:val="2085489718"/>
                <w:cantSplit/>
                <w:tblCellSpacing w:w="15" w:type="dxa"/>
              </w:trPr>
              <w:tc>
                <w:tcPr>
                  <w:tcW w:w="0" w:type="auto"/>
                  <w:vMerge/>
                  <w:vAlign w:val="center"/>
                  <w:hideMark/>
                </w:tcPr>
                <w:p w:rsidR="00000000" w:rsidRDefault="00EB04A8"/>
              </w:tc>
              <w:tc>
                <w:tcPr>
                  <w:tcW w:w="0" w:type="auto"/>
                  <w:vMerge/>
                  <w:vAlign w:val="center"/>
                  <w:hideMark/>
                </w:tcPr>
                <w:p w:rsidR="00000000" w:rsidRDefault="00EB04A8"/>
              </w:tc>
              <w:tc>
                <w:tcPr>
                  <w:tcW w:w="0" w:type="auto"/>
                  <w:vAlign w:val="center"/>
                  <w:hideMark/>
                </w:tcPr>
                <w:p w:rsidR="00000000" w:rsidRDefault="00EB04A8">
                  <w:pPr>
                    <w:pStyle w:val="Normlnywebov"/>
                  </w:pPr>
                  <w:r>
                    <w:t>Analýza   možností migrácie do eGovernment cloudu pre inštitúcie VS</w:t>
                  </w:r>
                </w:p>
              </w:tc>
              <w:tc>
                <w:tcPr>
                  <w:tcW w:w="0" w:type="auto"/>
                  <w:vAlign w:val="center"/>
                  <w:hideMark/>
                </w:tcPr>
                <w:p w:rsidR="00000000" w:rsidRDefault="00EB04A8">
                  <w:pPr>
                    <w:pStyle w:val="Normlnywebov"/>
                    <w:jc w:val="right"/>
                  </w:pPr>
                  <w:r>
                    <w:t>430   572,00 EUR</w:t>
                  </w:r>
                </w:p>
              </w:tc>
            </w:tr>
            <w:tr w:rsidR="00000000">
              <w:trPr>
                <w:divId w:val="2085489718"/>
                <w:cantSplit/>
                <w:tblCellSpacing w:w="15" w:type="dxa"/>
              </w:trPr>
              <w:tc>
                <w:tcPr>
                  <w:tcW w:w="0" w:type="auto"/>
                  <w:vMerge/>
                  <w:vAlign w:val="center"/>
                  <w:hideMark/>
                </w:tcPr>
                <w:p w:rsidR="00000000" w:rsidRDefault="00EB04A8"/>
              </w:tc>
              <w:tc>
                <w:tcPr>
                  <w:tcW w:w="0" w:type="auto"/>
                  <w:vMerge/>
                  <w:vAlign w:val="center"/>
                  <w:hideMark/>
                </w:tcPr>
                <w:p w:rsidR="00000000" w:rsidRDefault="00EB04A8"/>
              </w:tc>
              <w:tc>
                <w:tcPr>
                  <w:tcW w:w="0" w:type="auto"/>
                  <w:vAlign w:val="center"/>
                  <w:hideMark/>
                </w:tcPr>
                <w:p w:rsidR="00000000" w:rsidRDefault="00EB04A8">
                  <w:pPr>
                    <w:pStyle w:val="Normlnywebov"/>
                  </w:pPr>
                  <w:r>
                    <w:t>Implementácia   podporných syst</w:t>
                  </w:r>
                  <w:r>
                    <w:t>émov na zabezpečenie prevádzky podpory cloudového prostredia</w:t>
                  </w:r>
                </w:p>
              </w:tc>
              <w:tc>
                <w:tcPr>
                  <w:tcW w:w="0" w:type="auto"/>
                  <w:vAlign w:val="center"/>
                  <w:hideMark/>
                </w:tcPr>
                <w:p w:rsidR="00000000" w:rsidRDefault="00EB04A8">
                  <w:pPr>
                    <w:pStyle w:val="Normlnywebov"/>
                    <w:jc w:val="right"/>
                  </w:pPr>
                  <w:r>
                    <w:t>302   170,00 EUR</w:t>
                  </w:r>
                </w:p>
              </w:tc>
            </w:tr>
            <w:tr w:rsidR="00000000">
              <w:trPr>
                <w:divId w:val="2085489718"/>
                <w:cantSplit/>
                <w:tblCellSpacing w:w="15" w:type="dxa"/>
              </w:trPr>
              <w:tc>
                <w:tcPr>
                  <w:tcW w:w="0" w:type="auto"/>
                  <w:vMerge/>
                  <w:vAlign w:val="center"/>
                  <w:hideMark/>
                </w:tcPr>
                <w:p w:rsidR="00000000" w:rsidRDefault="00EB04A8"/>
              </w:tc>
              <w:tc>
                <w:tcPr>
                  <w:tcW w:w="0" w:type="auto"/>
                  <w:vAlign w:val="center"/>
                  <w:hideMark/>
                </w:tcPr>
                <w:p w:rsidR="00000000" w:rsidRDefault="00EB04A8">
                  <w:pPr>
                    <w:pStyle w:val="Normlnywebov"/>
                  </w:pPr>
                  <w:r>
                    <w:t> </w:t>
                  </w:r>
                </w:p>
              </w:tc>
              <w:tc>
                <w:tcPr>
                  <w:tcW w:w="0" w:type="auto"/>
                  <w:vAlign w:val="center"/>
                  <w:hideMark/>
                </w:tcPr>
                <w:p w:rsidR="00000000" w:rsidRDefault="00EB04A8">
                  <w:pPr>
                    <w:pStyle w:val="Normlnywebov"/>
                  </w:pPr>
                  <w:r>
                    <w:t>Podporné   aktivity</w:t>
                  </w:r>
                </w:p>
              </w:tc>
              <w:tc>
                <w:tcPr>
                  <w:tcW w:w="0" w:type="auto"/>
                  <w:vAlign w:val="center"/>
                  <w:hideMark/>
                </w:tcPr>
                <w:p w:rsidR="00000000" w:rsidRDefault="00EB04A8">
                  <w:pPr>
                    <w:pStyle w:val="Normlnywebov"/>
                    <w:jc w:val="right"/>
                  </w:pPr>
                  <w:r>
                    <w:t>310   000,00 EUR</w:t>
                  </w:r>
                </w:p>
              </w:tc>
            </w:tr>
            <w:tr w:rsidR="00000000">
              <w:trPr>
                <w:divId w:val="2085489718"/>
                <w:cantSplit/>
                <w:tblCellSpacing w:w="15" w:type="dxa"/>
              </w:trPr>
              <w:tc>
                <w:tcPr>
                  <w:tcW w:w="0" w:type="auto"/>
                  <w:vAlign w:val="center"/>
                  <w:hideMark/>
                </w:tcPr>
                <w:p w:rsidR="00000000" w:rsidRDefault="00EB04A8">
                  <w:pPr>
                    <w:pStyle w:val="Normlnywebov"/>
                  </w:pPr>
                  <w:r>
                    <w:t> </w:t>
                  </w:r>
                </w:p>
              </w:tc>
              <w:tc>
                <w:tcPr>
                  <w:tcW w:w="0" w:type="auto"/>
                  <w:vAlign w:val="center"/>
                  <w:hideMark/>
                </w:tcPr>
                <w:p w:rsidR="00000000" w:rsidRDefault="00EB04A8">
                  <w:pPr>
                    <w:pStyle w:val="Normlnywebov"/>
                  </w:pPr>
                  <w:r>
                    <w:t> </w:t>
                  </w:r>
                </w:p>
              </w:tc>
              <w:tc>
                <w:tcPr>
                  <w:tcW w:w="0" w:type="auto"/>
                  <w:vAlign w:val="center"/>
                  <w:hideMark/>
                </w:tcPr>
                <w:p w:rsidR="00000000" w:rsidRDefault="00EB04A8">
                  <w:pPr>
                    <w:pStyle w:val="Normlnywebov"/>
                  </w:pPr>
                  <w:r>
                    <w:t> </w:t>
                  </w:r>
                </w:p>
              </w:tc>
              <w:tc>
                <w:tcPr>
                  <w:tcW w:w="0" w:type="auto"/>
                  <w:vAlign w:val="center"/>
                  <w:hideMark/>
                </w:tcPr>
                <w:p w:rsidR="00000000" w:rsidRDefault="00EB04A8">
                  <w:pPr>
                    <w:pStyle w:val="Normlnywebov"/>
                    <w:jc w:val="right"/>
                  </w:pPr>
                  <w:r>
                    <w:rPr>
                      <w:rStyle w:val="Siln"/>
                    </w:rPr>
                    <w:t>31 440   257,18 EUR</w:t>
                  </w:r>
                </w:p>
              </w:tc>
            </w:tr>
          </w:tbl>
          <w:p w:rsidR="00000000" w:rsidRDefault="00EB04A8">
            <w:pPr>
              <w:pStyle w:val="Normlnywebov"/>
              <w:ind w:left="900"/>
            </w:pPr>
            <w:r>
              <w:rPr>
                <w:color w:val="000000"/>
                <w:sz w:val="27"/>
                <w:szCs w:val="27"/>
              </w:rPr>
              <w:t> </w:t>
            </w:r>
          </w:p>
          <w:p w:rsidR="00000000" w:rsidRDefault="00EB04A8">
            <w:pPr>
              <w:pStyle w:val="Normlnywebov"/>
              <w:ind w:left="900"/>
            </w:pPr>
            <w:r>
              <w:rPr>
                <w:rFonts w:ascii="Arial" w:hAnsi="Arial" w:cs="Arial"/>
                <w:color w:val="000000"/>
                <w:sz w:val="21"/>
                <w:szCs w:val="21"/>
              </w:rPr>
              <w:t>Na 10%-nú úsporu v prevádzke na obyvateľa projektov DCOM a DCOM+ je potrebné zapojiť do projektu DCOM+ cca 1 053 000 obyvateľov. V tejto súvislosti je potrebné uviesť, že ide o veľmi konzervatívny prístup, keďže v prepočte je zahrnutá plná výška prevádzkov</w:t>
            </w:r>
            <w:r>
              <w:rPr>
                <w:rFonts w:ascii="Arial" w:hAnsi="Arial" w:cs="Arial"/>
                <w:color w:val="000000"/>
                <w:sz w:val="21"/>
                <w:szCs w:val="21"/>
              </w:rPr>
              <w:t>ých nákladov projektu DCOM+ (1073 obcí). Je zrejmé, že pri rámcovej zmluve budú s klesajúcim počtom obcí klesať aj náklady prevádzky. Týmto bude môcť klesať aj minimálna výška potrebných obyvateľov v obciach zapojených do projektu na zabezpečenie 10%-nej ú</w:t>
            </w:r>
            <w:r>
              <w:rPr>
                <w:rFonts w:ascii="Arial" w:hAnsi="Arial" w:cs="Arial"/>
                <w:color w:val="000000"/>
                <w:sz w:val="21"/>
                <w:szCs w:val="21"/>
              </w:rPr>
              <w:t>spory v prevádzke. Ďalším determinantom, ktorý vplýva na prepočet sú veľkostné segmenty zapájaných obcí, ktoré sa nedajú nateraz záväzne odhadnúť. Z uvedených dôvodov je potrebné brať uvádzaný minimálny počet občanov zapájaných obcí do projektu DCOM+ ako o</w:t>
            </w:r>
            <w:r>
              <w:rPr>
                <w:rFonts w:ascii="Arial" w:hAnsi="Arial" w:cs="Arial"/>
                <w:color w:val="000000"/>
                <w:sz w:val="21"/>
                <w:szCs w:val="21"/>
              </w:rPr>
              <w:t>rientačný a ako už bolo spomenuté aj ako krajne konzervatívny. </w:t>
            </w:r>
            <w:r>
              <w:rPr>
                <w:color w:val="000000"/>
                <w:sz w:val="27"/>
                <w:szCs w:val="27"/>
              </w:rPr>
              <w:t> </w:t>
            </w:r>
          </w:p>
          <w:p w:rsidR="00000000" w:rsidRDefault="00EB04A8">
            <w:pPr>
              <w:pStyle w:val="Normlnywebov"/>
              <w:ind w:left="900"/>
            </w:pPr>
            <w:r>
              <w:t>Bod zlomu projektu DCOM+, t.z. aby bola Ekonomická čistá súčasná hodnota (ENPV) vyššia ako nula, čo znemená, že projekt  bude ešte vhodný z ekonomického hľadiska dosahuje hodnotu 751 obcí.</w:t>
            </w:r>
          </w:p>
          <w:p w:rsidR="00000000" w:rsidRDefault="00EB04A8">
            <w:pPr>
              <w:pStyle w:val="Normlnywebov"/>
              <w:ind w:left="900"/>
            </w:pPr>
            <w:r>
              <w:t>Vý</w:t>
            </w:r>
            <w:r>
              <w:t>ška dosiahnutia 10 % úspory z hľadiska prevádzky IS DCOM po implementácií projektu DCOM+ bude predpokladom, ktorý bude uvedený ako kritérium pri špecifikácií podmienok  súťaže na tento projekt, čím bude zabezpečené aj jej dosiahnutie po realizácií DCOM+. </w:t>
            </w:r>
          </w:p>
          <w:p w:rsidR="00000000" w:rsidRDefault="00EB04A8">
            <w:pPr>
              <w:pStyle w:val="Normlnywebov"/>
              <w:spacing w:before="130" w:beforeAutospacing="0" w:after="130" w:afterAutospacing="0"/>
              <w:ind w:left="900"/>
            </w:pPr>
            <w:r>
              <w:rPr>
                <w:rFonts w:ascii="Arial" w:hAnsi="Arial" w:cs="Arial"/>
                <w:sz w:val="21"/>
                <w:szCs w:val="21"/>
              </w:rPr>
              <w:t>Prevádzka IS DCOM je z pohľadu jej nákladov voči vynaloženým prostriedkom efektívna a pri porovnaní s bežnou praxou iných IS je na hranici únosnosti, čo je tiež potrebné vziať do úvahy pri napĺňaní 10% úspory v prevádzke. Výška úspory v prevádzke je zárove</w:t>
            </w:r>
            <w:r>
              <w:rPr>
                <w:rFonts w:ascii="Arial" w:hAnsi="Arial" w:cs="Arial"/>
                <w:sz w:val="21"/>
                <w:szCs w:val="21"/>
              </w:rPr>
              <w:t>ň závislá na rozsahu nových nárokov v oblasti informatizácie verejnej správy, nakoľko ovplyvňujú prevádzku ISVS.</w:t>
            </w:r>
          </w:p>
          <w:p w:rsidR="00000000" w:rsidRDefault="00EB04A8">
            <w:pPr>
              <w:pStyle w:val="Normlnywebov"/>
              <w:spacing w:before="130" w:beforeAutospacing="0" w:after="130" w:afterAutospacing="0"/>
              <w:ind w:left="900"/>
            </w:pPr>
          </w:p>
          <w:p w:rsidR="00000000" w:rsidRDefault="00EB04A8">
            <w:pPr>
              <w:pStyle w:val="Normlnywebov"/>
              <w:ind w:left="900"/>
            </w:pPr>
            <w:r>
              <w:rPr>
                <w:rStyle w:val="Siln"/>
                <w:rFonts w:ascii="Arial" w:hAnsi="Arial" w:cs="Arial"/>
                <w:color w:val="000000"/>
                <w:sz w:val="21"/>
                <w:szCs w:val="21"/>
              </w:rPr>
              <w:t>Kvantifikované prínosy</w:t>
            </w:r>
          </w:p>
          <w:p w:rsidR="00000000" w:rsidRDefault="00EB04A8">
            <w:pPr>
              <w:pStyle w:val="Normlnywebov"/>
              <w:numPr>
                <w:ilvl w:val="0"/>
                <w:numId w:val="35"/>
              </w:numPr>
              <w:spacing w:before="0" w:beforeAutospacing="0" w:after="0" w:afterAutospacing="0"/>
              <w:ind w:left="1620"/>
              <w:rPr>
                <w:color w:val="000000"/>
              </w:rPr>
            </w:pPr>
            <w:r>
              <w:rPr>
                <w:rFonts w:ascii="Arial" w:hAnsi="Arial" w:cs="Arial"/>
                <w:color w:val="000000"/>
                <w:sz w:val="21"/>
                <w:szCs w:val="21"/>
              </w:rPr>
              <w:t>Lepšia a efektívnejšia prevádzka informačných systémov (zníženie TCO):</w:t>
            </w:r>
          </w:p>
          <w:p w:rsidR="00000000" w:rsidRDefault="00EB04A8">
            <w:pPr>
              <w:pStyle w:val="Normlnywebov"/>
              <w:numPr>
                <w:ilvl w:val="1"/>
                <w:numId w:val="35"/>
              </w:numPr>
              <w:spacing w:before="0" w:beforeAutospacing="0" w:after="0" w:afterAutospacing="0"/>
              <w:ind w:left="2340"/>
              <w:rPr>
                <w:rFonts w:ascii="Arial Narrow" w:hAnsi="Arial Narrow" w:cs="Arial"/>
                <w:color w:val="000000"/>
                <w:sz w:val="18"/>
                <w:szCs w:val="18"/>
              </w:rPr>
            </w:pPr>
            <w:r>
              <w:rPr>
                <w:rFonts w:ascii="Arial" w:hAnsi="Arial" w:cs="Arial"/>
                <w:color w:val="000000"/>
                <w:sz w:val="21"/>
                <w:szCs w:val="21"/>
              </w:rPr>
              <w:t>Odborné kapacity IKT budú koncentrované,</w:t>
            </w:r>
          </w:p>
          <w:p w:rsidR="00000000" w:rsidRDefault="00EB04A8">
            <w:pPr>
              <w:pStyle w:val="Normlnywebov"/>
              <w:numPr>
                <w:ilvl w:val="1"/>
                <w:numId w:val="35"/>
              </w:numPr>
              <w:spacing w:before="0" w:beforeAutospacing="0" w:after="0" w:afterAutospacing="0"/>
              <w:ind w:left="2340"/>
              <w:rPr>
                <w:rFonts w:ascii="Arial Narrow" w:hAnsi="Arial Narrow" w:cs="Arial"/>
                <w:color w:val="000000"/>
                <w:sz w:val="18"/>
                <w:szCs w:val="18"/>
              </w:rPr>
            </w:pPr>
            <w:r>
              <w:rPr>
                <w:rFonts w:ascii="Arial" w:hAnsi="Arial" w:cs="Arial"/>
                <w:color w:val="000000"/>
                <w:sz w:val="21"/>
                <w:szCs w:val="21"/>
              </w:rPr>
              <w:t>Efekt</w:t>
            </w:r>
            <w:r>
              <w:rPr>
                <w:rFonts w:ascii="Arial" w:hAnsi="Arial" w:cs="Arial"/>
                <w:color w:val="000000"/>
                <w:sz w:val="21"/>
                <w:szCs w:val="21"/>
              </w:rPr>
              <w:t>ívnejšie využívanie a zdieľanie zdrojov IKT,</w:t>
            </w:r>
          </w:p>
          <w:p w:rsidR="00000000" w:rsidRDefault="00EB04A8">
            <w:pPr>
              <w:pStyle w:val="Normlnywebov"/>
              <w:numPr>
                <w:ilvl w:val="1"/>
                <w:numId w:val="35"/>
              </w:numPr>
              <w:spacing w:before="0" w:beforeAutospacing="0" w:after="0" w:afterAutospacing="0"/>
              <w:ind w:left="2340"/>
              <w:rPr>
                <w:rFonts w:ascii="Arial Narrow" w:hAnsi="Arial Narrow" w:cs="Arial"/>
                <w:color w:val="000000"/>
                <w:sz w:val="18"/>
                <w:szCs w:val="18"/>
              </w:rPr>
            </w:pPr>
            <w:r>
              <w:rPr>
                <w:rFonts w:ascii="Arial" w:hAnsi="Arial" w:cs="Arial"/>
                <w:color w:val="000000"/>
                <w:sz w:val="21"/>
                <w:szCs w:val="21"/>
              </w:rPr>
              <w:t>Zníženie celkového počtu komponentov DC v rámci štátnej správy a ich unifikácia.</w:t>
            </w:r>
          </w:p>
          <w:p w:rsidR="00000000" w:rsidRDefault="00EB04A8">
            <w:pPr>
              <w:pStyle w:val="Normlnywebov"/>
              <w:spacing w:before="0" w:beforeAutospacing="0" w:after="0" w:afterAutospacing="0"/>
              <w:ind w:left="2340"/>
              <w:rPr>
                <w:rFonts w:ascii="Arial Narrow" w:hAnsi="Arial Narrow" w:cs="Arial"/>
                <w:color w:val="000000"/>
                <w:sz w:val="18"/>
                <w:szCs w:val="18"/>
              </w:rPr>
            </w:pPr>
          </w:p>
          <w:p w:rsidR="00000000" w:rsidRDefault="00EB04A8">
            <w:pPr>
              <w:pStyle w:val="Normlnywebov"/>
              <w:spacing w:before="0" w:beforeAutospacing="0" w:after="0" w:afterAutospacing="0"/>
              <w:ind w:left="2340"/>
              <w:rPr>
                <w:rFonts w:ascii="Arial Narrow" w:hAnsi="Arial Narrow" w:cs="Arial"/>
                <w:color w:val="000000"/>
                <w:sz w:val="18"/>
                <w:szCs w:val="18"/>
              </w:rPr>
            </w:pPr>
            <w:r>
              <w:rPr>
                <w:rStyle w:val="Siln"/>
                <w:rFonts w:ascii="Arial" w:hAnsi="Arial" w:cs="Arial"/>
                <w:color w:val="000000"/>
                <w:sz w:val="21"/>
                <w:szCs w:val="21"/>
              </w:rPr>
              <w:t>Kvalitatívne prínosy</w:t>
            </w:r>
          </w:p>
          <w:p w:rsidR="00000000" w:rsidRDefault="00EB04A8">
            <w:pPr>
              <w:pStyle w:val="Normlnywebov"/>
              <w:numPr>
                <w:ilvl w:val="0"/>
                <w:numId w:val="35"/>
              </w:numPr>
              <w:spacing w:before="0" w:beforeAutospacing="0" w:after="0" w:afterAutospacing="0"/>
              <w:ind w:left="1620"/>
              <w:rPr>
                <w:rFonts w:ascii="Arial Narrow" w:hAnsi="Arial Narrow" w:cs="Arial"/>
                <w:color w:val="000000"/>
                <w:sz w:val="18"/>
                <w:szCs w:val="18"/>
              </w:rPr>
            </w:pPr>
            <w:r>
              <w:rPr>
                <w:rFonts w:ascii="Arial" w:hAnsi="Arial" w:cs="Arial"/>
                <w:color w:val="000000"/>
                <w:sz w:val="21"/>
                <w:szCs w:val="21"/>
              </w:rPr>
              <w:t>Zlepšenie kvality riešenia:</w:t>
            </w:r>
          </w:p>
          <w:p w:rsidR="00000000" w:rsidRDefault="00EB04A8">
            <w:pPr>
              <w:pStyle w:val="Normlnywebov"/>
              <w:numPr>
                <w:ilvl w:val="1"/>
                <w:numId w:val="35"/>
              </w:numPr>
              <w:spacing w:before="0" w:beforeAutospacing="0" w:after="0" w:afterAutospacing="0"/>
              <w:ind w:left="2340"/>
              <w:rPr>
                <w:rFonts w:ascii="Arial Narrow" w:hAnsi="Arial Narrow" w:cs="Arial"/>
                <w:color w:val="000000"/>
                <w:sz w:val="18"/>
                <w:szCs w:val="18"/>
              </w:rPr>
            </w:pPr>
            <w:r>
              <w:rPr>
                <w:rFonts w:ascii="Arial" w:hAnsi="Arial" w:cs="Arial"/>
                <w:color w:val="000000"/>
                <w:sz w:val="21"/>
                <w:szCs w:val="21"/>
              </w:rPr>
              <w:t xml:space="preserve">Súlad s národnými štandardami pre ISVS, ako aj medzinárodnými normami a štandardami, </w:t>
            </w:r>
          </w:p>
          <w:p w:rsidR="00000000" w:rsidRDefault="00EB04A8">
            <w:pPr>
              <w:pStyle w:val="Normlnywebov"/>
              <w:numPr>
                <w:ilvl w:val="1"/>
                <w:numId w:val="35"/>
              </w:numPr>
              <w:spacing w:before="0" w:beforeAutospacing="0" w:after="0" w:afterAutospacing="0"/>
              <w:ind w:left="2340"/>
              <w:rPr>
                <w:rFonts w:ascii="Arial Narrow" w:hAnsi="Arial Narrow" w:cs="Arial"/>
                <w:color w:val="000000"/>
                <w:sz w:val="18"/>
                <w:szCs w:val="18"/>
              </w:rPr>
            </w:pPr>
            <w:r>
              <w:rPr>
                <w:rFonts w:ascii="Arial" w:hAnsi="Arial" w:cs="Arial"/>
                <w:color w:val="000000"/>
                <w:sz w:val="21"/>
                <w:szCs w:val="21"/>
              </w:rPr>
              <w:t>Implementácia centralizovanej, zdieľanej, škálovateľnej a stabilnej hardvérovej infraštruktúry pre IaaS</w:t>
            </w:r>
          </w:p>
          <w:p w:rsidR="00000000" w:rsidRDefault="00EB04A8">
            <w:pPr>
              <w:pStyle w:val="Normlnywebov"/>
              <w:numPr>
                <w:ilvl w:val="0"/>
                <w:numId w:val="35"/>
              </w:numPr>
              <w:spacing w:before="0" w:beforeAutospacing="0" w:after="0" w:afterAutospacing="0"/>
              <w:ind w:left="1620"/>
              <w:rPr>
                <w:rFonts w:ascii="Arial Narrow" w:hAnsi="Arial Narrow" w:cs="Arial"/>
                <w:color w:val="000000"/>
                <w:sz w:val="18"/>
                <w:szCs w:val="18"/>
              </w:rPr>
            </w:pPr>
            <w:r>
              <w:rPr>
                <w:rFonts w:ascii="Arial" w:hAnsi="Arial" w:cs="Arial"/>
                <w:color w:val="000000"/>
                <w:sz w:val="21"/>
                <w:szCs w:val="21"/>
              </w:rPr>
              <w:t>Využívanie zdieľaných IT služieb</w:t>
            </w:r>
          </w:p>
          <w:p w:rsidR="00000000" w:rsidRDefault="00EB04A8">
            <w:pPr>
              <w:pStyle w:val="Normlnywebov"/>
              <w:numPr>
                <w:ilvl w:val="0"/>
                <w:numId w:val="35"/>
              </w:numPr>
              <w:spacing w:before="0" w:beforeAutospacing="0" w:after="0" w:afterAutospacing="0"/>
              <w:ind w:left="1620"/>
              <w:rPr>
                <w:rFonts w:ascii="Arial Narrow" w:hAnsi="Arial Narrow" w:cs="Arial"/>
                <w:color w:val="000000"/>
                <w:sz w:val="18"/>
                <w:szCs w:val="18"/>
              </w:rPr>
            </w:pPr>
            <w:r>
              <w:rPr>
                <w:rFonts w:ascii="Arial" w:hAnsi="Arial" w:cs="Arial"/>
                <w:color w:val="000000"/>
                <w:sz w:val="21"/>
                <w:szCs w:val="21"/>
              </w:rPr>
              <w:t xml:space="preserve">Naplnenie dopytu po inovatívnych </w:t>
            </w:r>
            <w:r>
              <w:rPr>
                <w:rFonts w:ascii="Arial" w:hAnsi="Arial" w:cs="Arial"/>
                <w:color w:val="000000"/>
                <w:sz w:val="21"/>
                <w:szCs w:val="21"/>
              </w:rPr>
              <w:t>riešeniach.</w:t>
            </w:r>
          </w:p>
          <w:p w:rsidR="00000000" w:rsidRDefault="00EB04A8">
            <w:pPr>
              <w:pStyle w:val="Normlnywebov"/>
              <w:spacing w:before="0" w:beforeAutospacing="0" w:after="0" w:afterAutospacing="0"/>
              <w:ind w:left="1620"/>
              <w:rPr>
                <w:rFonts w:ascii="Arial Narrow" w:hAnsi="Arial Narrow" w:cs="Arial"/>
                <w:color w:val="000000"/>
                <w:sz w:val="18"/>
                <w:szCs w:val="18"/>
              </w:rPr>
            </w:pPr>
            <w:r>
              <w:rPr>
                <w:color w:val="000000"/>
                <w:sz w:val="27"/>
                <w:szCs w:val="27"/>
              </w:rPr>
              <w:t> </w:t>
            </w:r>
          </w:p>
          <w:p w:rsidR="00000000" w:rsidRDefault="00EB04A8">
            <w:pPr>
              <w:pStyle w:val="Normlnywebov"/>
              <w:spacing w:before="130" w:beforeAutospacing="0" w:after="130" w:afterAutospacing="0"/>
              <w:ind w:left="900"/>
            </w:pPr>
            <w:r>
              <w:rPr>
                <w:rFonts w:ascii="Arial" w:hAnsi="Arial" w:cs="Arial"/>
                <w:color w:val="000000"/>
                <w:sz w:val="21"/>
                <w:szCs w:val="21"/>
              </w:rPr>
              <w:t>Čistá súčasná ekonomická hodnota (ENPV) = 6 031 209,03 € bez DPH, čo činí 7 237 450,84 € s DPH, čo je vidieť v Tabuľke 17.4</w:t>
            </w:r>
          </w:p>
          <w:p w:rsidR="00000000" w:rsidRDefault="00EB04A8">
            <w:pPr>
              <w:pStyle w:val="Normlnywebov"/>
              <w:spacing w:before="130" w:beforeAutospacing="0" w:after="130" w:afterAutospacing="0"/>
              <w:ind w:left="900"/>
            </w:pPr>
            <w:r>
              <w:rPr>
                <w:rFonts w:ascii="Arial" w:hAnsi="Arial" w:cs="Arial"/>
                <w:color w:val="000000"/>
                <w:sz w:val="21"/>
                <w:szCs w:val="21"/>
              </w:rPr>
              <w:t> </w:t>
            </w:r>
          </w:p>
          <w:p w:rsidR="00000000" w:rsidRDefault="00EB04A8">
            <w:pPr>
              <w:pStyle w:val="Normlnywebov"/>
              <w:ind w:left="900"/>
            </w:pPr>
            <w:r>
              <w:t>Rok návratu investície (PBP) = 8. rok</w:t>
            </w:r>
          </w:p>
          <w:p w:rsidR="00000000" w:rsidRDefault="00EB04A8">
            <w:pPr>
              <w:pStyle w:val="Normlnywebov"/>
              <w:ind w:left="900"/>
            </w:pPr>
            <w:r>
              <w:t> </w:t>
            </w:r>
          </w:p>
          <w:p w:rsidR="00000000" w:rsidRDefault="00EB04A8">
            <w:pPr>
              <w:pStyle w:val="Normlnywebov"/>
              <w:ind w:left="900"/>
            </w:pPr>
            <w:r>
              <w:t>Nakoľko sa projekt DCOM+ bude týkať potenciálne aj obcí v Bratislavskom sam</w:t>
            </w:r>
            <w:r>
              <w:t>osprávnom kraji – BSK (z celkového počtu 1 340  obcí, ktoré v súčasnosti nemajú IS DCOM  je 67 v BSK, pričom z 1 073 uvažovaných obcí pre DCOM+ je 54 obcí v BSK, čo činí 5%), financovanie projektu DCOM+ je možné viacerými spôsobmi. Prvým spôsobom sa výdavk</w:t>
            </w:r>
            <w:r>
              <w:t>y v rámci BSK budú považovať za neoprávnené výdavky, kým druhým, s ktorým uvažujeme, budú výdavky v rámci BSK financované princípom PRO-RATA. O výbere najvhodnejšieho spôsobu financovania by mala rozhodnúť hospodárnosť a efektívnosť vynaložených prostriedk</w:t>
            </w:r>
            <w:r>
              <w:t>ov (šetrenie verejnými zdrojmi). </w:t>
            </w:r>
          </w:p>
          <w:p w:rsidR="00000000" w:rsidRDefault="00EB04A8">
            <w:pPr>
              <w:pStyle w:val="Normlnywebov"/>
              <w:ind w:left="900"/>
            </w:pPr>
            <w:r>
              <w:t>Konzumentami cloudových služieb DCOM sú subjekty verejnej správy, konkrétne obce a mestá. Predmetom tohto projektu je pripojenie ďalších obcí a miest do DCOM, čo znamená rozšírenie využívania cloudových služieb.</w:t>
            </w:r>
            <w:r>
              <w:rPr>
                <w:color w:val="000000"/>
                <w:sz w:val="27"/>
                <w:szCs w:val="27"/>
              </w:rPr>
              <w:t> </w:t>
            </w:r>
          </w:p>
          <w:p w:rsidR="00000000" w:rsidRDefault="00EB04A8">
            <w:pPr>
              <w:pStyle w:val="Normlnywebov"/>
              <w:ind w:left="900"/>
            </w:pPr>
            <w:r>
              <w:t>Projekt p</w:t>
            </w:r>
            <w:r>
              <w:t>rispieva k zefektívneniu prevádzky informačných systémov pomocou eGovernment cloudu, nakoľko napĺňa špecifický cieľ OPII PO7 „7.8 – Racionalizácia prevádzky informačných systémov pomocou eGovernment cloudu“.</w:t>
            </w:r>
          </w:p>
          <w:p w:rsidR="00000000" w:rsidRDefault="00EB04A8">
            <w:pPr>
              <w:pStyle w:val="Normlnywebov"/>
              <w:ind w:left="900"/>
            </w:pPr>
            <w:r>
              <w:t>Očakávaný výsledok je zameraný na typ aktivít „P</w:t>
            </w:r>
            <w:r>
              <w:t>rechod prevádzky informačných systémov VS do eGovernment cloudu“, keďže realizuje plošné rozšírenie a pripojenie ďalších obcí a miest do DCOM.</w:t>
            </w:r>
          </w:p>
          <w:p w:rsidR="00000000" w:rsidRDefault="00EB04A8">
            <w:pPr>
              <w:pStyle w:val="Normlnywebov"/>
              <w:ind w:left="900"/>
            </w:pPr>
            <w:r>
              <w:rPr>
                <w:rFonts w:ascii="Arial" w:hAnsi="Arial" w:cs="Arial"/>
                <w:color w:val="000000"/>
                <w:sz w:val="21"/>
                <w:szCs w:val="21"/>
              </w:rPr>
              <w:t>Projekt v rozsahu uvedených aktivít prispieva k dosiahnutiu cieľov definovaných v Strategickom dokumente pre obla</w:t>
            </w:r>
            <w:r>
              <w:rPr>
                <w:rFonts w:ascii="Arial" w:hAnsi="Arial" w:cs="Arial"/>
                <w:color w:val="000000"/>
                <w:sz w:val="21"/>
                <w:szCs w:val="21"/>
              </w:rPr>
              <w:t>sť rastu digitálnych služieb a oblasť infraštruktúry prístupovej siete novej generácie , nakoľko napĺňa strategický cieľ „6) Optimalizácia využitia informačných technológii vo verejnej správe vďaka platforme zdieľaných služieb“.</w:t>
            </w:r>
          </w:p>
          <w:p w:rsidR="00000000" w:rsidRDefault="00EB04A8">
            <w:pPr>
              <w:pStyle w:val="Normlnywebov"/>
              <w:ind w:left="900"/>
            </w:pPr>
          </w:p>
          <w:p w:rsidR="00000000" w:rsidRDefault="00EB04A8">
            <w:pPr>
              <w:pStyle w:val="Normlnywebov"/>
              <w:ind w:left="900"/>
            </w:pPr>
            <w:r>
              <w:rPr>
                <w:rStyle w:val="Zvraznenie"/>
                <w:sz w:val="27"/>
                <w:szCs w:val="27"/>
              </w:rPr>
              <w:t>Tabuľka 17.4  Prehľad uka</w:t>
            </w:r>
            <w:r>
              <w:rPr>
                <w:rStyle w:val="Zvraznenie"/>
                <w:sz w:val="27"/>
                <w:szCs w:val="27"/>
              </w:rPr>
              <w:t>zovateľov efektivity</w:t>
            </w:r>
            <w:r>
              <w:rPr>
                <w:rStyle w:val="Zvraznenie"/>
                <w:b/>
                <w:bCs/>
                <w:color w:val="000000"/>
                <w:sz w:val="27"/>
                <w:szCs w:val="27"/>
              </w:rPr>
              <w:t> </w:t>
            </w:r>
          </w:p>
          <w:tbl>
            <w:tblPr>
              <w:tblW w:w="0" w:type="auto"/>
              <w:tblCellSpacing w:w="15" w:type="dxa"/>
              <w:tblInd w:w="900" w:type="dxa"/>
              <w:tblCellMar>
                <w:top w:w="15" w:type="dxa"/>
                <w:left w:w="15" w:type="dxa"/>
                <w:bottom w:w="15" w:type="dxa"/>
                <w:right w:w="15" w:type="dxa"/>
              </w:tblCellMar>
              <w:tblLook w:val="04A0" w:firstRow="1" w:lastRow="0" w:firstColumn="1" w:lastColumn="0" w:noHBand="0" w:noVBand="1"/>
            </w:tblPr>
            <w:tblGrid>
              <w:gridCol w:w="2874"/>
              <w:gridCol w:w="2113"/>
              <w:gridCol w:w="2321"/>
              <w:gridCol w:w="1062"/>
            </w:tblGrid>
            <w:tr w:rsidR="00000000">
              <w:trPr>
                <w:divId w:val="1767458720"/>
                <w:cantSplit/>
                <w:tblCellSpacing w:w="15" w:type="dxa"/>
              </w:trPr>
              <w:tc>
                <w:tcPr>
                  <w:tcW w:w="0" w:type="auto"/>
                  <w:vAlign w:val="center"/>
                  <w:hideMark/>
                </w:tcPr>
                <w:p w:rsidR="00000000" w:rsidRDefault="00EB04A8">
                  <w:pPr>
                    <w:pStyle w:val="Normlnywebov"/>
                  </w:pPr>
                  <w:r>
                    <w:rPr>
                      <w:rStyle w:val="Siln"/>
                    </w:rPr>
                    <w:t>Ukazovateľ   efektivity</w:t>
                  </w:r>
                </w:p>
              </w:tc>
              <w:tc>
                <w:tcPr>
                  <w:tcW w:w="0" w:type="auto"/>
                  <w:vAlign w:val="center"/>
                  <w:hideMark/>
                </w:tcPr>
                <w:p w:rsidR="00000000" w:rsidRDefault="00EB04A8">
                  <w:pPr>
                    <w:pStyle w:val="Normlnywebov"/>
                  </w:pPr>
                  <w:r>
                    <w:rPr>
                      <w:rStyle w:val="Siln"/>
                    </w:rPr>
                    <w:t>Hodnota</w:t>
                  </w:r>
                </w:p>
              </w:tc>
              <w:tc>
                <w:tcPr>
                  <w:tcW w:w="0" w:type="auto"/>
                  <w:vAlign w:val="center"/>
                  <w:hideMark/>
                </w:tcPr>
                <w:p w:rsidR="00000000" w:rsidRDefault="00EB04A8">
                  <w:pPr>
                    <w:pStyle w:val="Normlnywebov"/>
                  </w:pPr>
                  <w:r>
                    <w:rPr>
                      <w:rStyle w:val="Siln"/>
                    </w:rPr>
                    <w:t>Požadovaná   hodnota</w:t>
                  </w:r>
                </w:p>
              </w:tc>
              <w:tc>
                <w:tcPr>
                  <w:tcW w:w="0" w:type="auto"/>
                  <w:vAlign w:val="center"/>
                  <w:hideMark/>
                </w:tcPr>
                <w:p w:rsidR="00000000" w:rsidRDefault="00EB04A8">
                  <w:pPr>
                    <w:pStyle w:val="Normlnywebov"/>
                  </w:pPr>
                  <w:r>
                    <w:rPr>
                      <w:rStyle w:val="Siln"/>
                    </w:rPr>
                    <w:t>Vyhovuje</w:t>
                  </w:r>
                </w:p>
              </w:tc>
            </w:tr>
            <w:tr w:rsidR="00000000">
              <w:trPr>
                <w:divId w:val="1767458720"/>
                <w:cantSplit/>
                <w:tblCellSpacing w:w="15" w:type="dxa"/>
              </w:trPr>
              <w:tc>
                <w:tcPr>
                  <w:tcW w:w="0" w:type="auto"/>
                  <w:vAlign w:val="center"/>
                  <w:hideMark/>
                </w:tcPr>
                <w:p w:rsidR="00000000" w:rsidRDefault="00EB04A8">
                  <w:pPr>
                    <w:pStyle w:val="Normlnywebov"/>
                  </w:pPr>
                  <w:r>
                    <w:t>Čistá súčasná hodnota projektu</w:t>
                  </w:r>
                </w:p>
              </w:tc>
              <w:tc>
                <w:tcPr>
                  <w:tcW w:w="0" w:type="auto"/>
                  <w:vAlign w:val="center"/>
                  <w:hideMark/>
                </w:tcPr>
                <w:p w:rsidR="00000000" w:rsidRDefault="00EB04A8">
                  <w:pPr>
                    <w:pStyle w:val="Normlnywebov"/>
                    <w:jc w:val="right"/>
                  </w:pPr>
                  <w:r>
                    <w:rPr>
                      <w:rStyle w:val="Siln"/>
                    </w:rPr>
                    <w:t>6 031 2019,03</w:t>
                  </w:r>
                  <w:r>
                    <w:t xml:space="preserve"> </w:t>
                  </w:r>
                  <w:r>
                    <w:rPr>
                      <w:rStyle w:val="Siln"/>
                    </w:rPr>
                    <w:t>€ bez DPH</w:t>
                  </w:r>
                </w:p>
              </w:tc>
              <w:tc>
                <w:tcPr>
                  <w:tcW w:w="0" w:type="auto"/>
                  <w:vAlign w:val="center"/>
                  <w:hideMark/>
                </w:tcPr>
                <w:p w:rsidR="00000000" w:rsidRDefault="00EB04A8">
                  <w:pPr>
                    <w:pStyle w:val="Normlnywebov"/>
                    <w:jc w:val="right"/>
                  </w:pPr>
                  <w:r>
                    <w:rPr>
                      <w:rStyle w:val="Siln"/>
                    </w:rPr>
                    <w:t xml:space="preserve">&gt; 0 </w:t>
                  </w:r>
                </w:p>
              </w:tc>
              <w:tc>
                <w:tcPr>
                  <w:tcW w:w="0" w:type="auto"/>
                  <w:vAlign w:val="center"/>
                  <w:hideMark/>
                </w:tcPr>
                <w:p w:rsidR="00000000" w:rsidRDefault="00EB04A8">
                  <w:pPr>
                    <w:pStyle w:val="Normlnywebov"/>
                    <w:jc w:val="center"/>
                  </w:pPr>
                  <w:r>
                    <w:rPr>
                      <w:rStyle w:val="Siln"/>
                    </w:rPr>
                    <w:t>Áno</w:t>
                  </w:r>
                </w:p>
              </w:tc>
            </w:tr>
            <w:tr w:rsidR="00000000">
              <w:trPr>
                <w:divId w:val="1767458720"/>
                <w:cantSplit/>
                <w:tblCellSpacing w:w="15" w:type="dxa"/>
              </w:trPr>
              <w:tc>
                <w:tcPr>
                  <w:tcW w:w="0" w:type="auto"/>
                  <w:vAlign w:val="center"/>
                  <w:hideMark/>
                </w:tcPr>
                <w:p w:rsidR="00000000" w:rsidRDefault="00EB04A8">
                  <w:pPr>
                    <w:pStyle w:val="Normlnywebov"/>
                  </w:pPr>
                  <w:r>
                    <w:t>Rok návratu investície</w:t>
                  </w:r>
                </w:p>
              </w:tc>
              <w:tc>
                <w:tcPr>
                  <w:tcW w:w="0" w:type="auto"/>
                  <w:vAlign w:val="center"/>
                  <w:hideMark/>
                </w:tcPr>
                <w:p w:rsidR="00000000" w:rsidRDefault="00EB04A8">
                  <w:pPr>
                    <w:pStyle w:val="Normlnywebov"/>
                    <w:jc w:val="right"/>
                  </w:pPr>
                  <w:r>
                    <w:rPr>
                      <w:rStyle w:val="Siln"/>
                    </w:rPr>
                    <w:t>8. Rok</w:t>
                  </w:r>
                </w:p>
              </w:tc>
              <w:tc>
                <w:tcPr>
                  <w:tcW w:w="0" w:type="auto"/>
                  <w:vAlign w:val="center"/>
                  <w:hideMark/>
                </w:tcPr>
                <w:p w:rsidR="00000000" w:rsidRDefault="00EB04A8">
                  <w:pPr>
                    <w:pStyle w:val="Normlnywebov"/>
                    <w:jc w:val="right"/>
                  </w:pPr>
                  <w:r>
                    <w:rPr>
                      <w:rStyle w:val="Siln"/>
                    </w:rPr>
                    <w:t>&lt; 10 rokov</w:t>
                  </w:r>
                </w:p>
              </w:tc>
              <w:tc>
                <w:tcPr>
                  <w:tcW w:w="0" w:type="auto"/>
                  <w:vAlign w:val="center"/>
                  <w:hideMark/>
                </w:tcPr>
                <w:p w:rsidR="00000000" w:rsidRDefault="00EB04A8">
                  <w:pPr>
                    <w:pStyle w:val="Normlnywebov"/>
                    <w:jc w:val="center"/>
                  </w:pPr>
                  <w:r>
                    <w:rPr>
                      <w:rStyle w:val="Siln"/>
                    </w:rPr>
                    <w:t>Áno</w:t>
                  </w:r>
                </w:p>
              </w:tc>
            </w:tr>
          </w:tbl>
          <w:p w:rsidR="00000000" w:rsidRDefault="00EB04A8">
            <w:pPr>
              <w:pStyle w:val="Normlnywebov"/>
              <w:ind w:left="900"/>
            </w:pPr>
            <w:r>
              <w:rPr>
                <w:sz w:val="27"/>
                <w:szCs w:val="27"/>
              </w:rPr>
              <w:t>  </w:t>
            </w:r>
          </w:p>
          <w:p w:rsidR="00000000" w:rsidRDefault="00EB04A8">
            <w:pPr>
              <w:pStyle w:val="Normlnywebov"/>
              <w:ind w:left="900"/>
            </w:pPr>
            <w:r>
              <w:rPr>
                <w:rStyle w:val="Zvraznenie"/>
                <w:color w:val="000000"/>
                <w:sz w:val="27"/>
                <w:szCs w:val="27"/>
              </w:rPr>
              <w:t>Tabuľka 17.5  Prehľad nákladov a prínoso</w:t>
            </w:r>
            <w:r>
              <w:rPr>
                <w:rStyle w:val="Zvraznenie"/>
                <w:color w:val="000000"/>
                <w:sz w:val="27"/>
                <w:szCs w:val="27"/>
              </w:rPr>
              <w:t>v</w:t>
            </w:r>
          </w:p>
          <w:p w:rsidR="00000000" w:rsidRDefault="00EB04A8">
            <w:pPr>
              <w:pStyle w:val="Normlnywebov"/>
              <w:ind w:left="900"/>
            </w:pPr>
            <w:r>
              <w:rPr>
                <w:i/>
                <w:iCs/>
                <w:noProof/>
                <w:color w:val="000000"/>
                <w:sz w:val="27"/>
                <w:szCs w:val="27"/>
              </w:rPr>
              <w:drawing>
                <wp:inline distT="0" distB="0" distL="0" distR="0">
                  <wp:extent cx="4457700" cy="944880"/>
                  <wp:effectExtent l="0" t="0" r="0" b="7620"/>
                  <wp:docPr id="20" name="Obrázok 20" descr="C:\2b6a2a7ad127cd8f13b57b27ca3561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2b6a2a7ad127cd8f13b57b27ca35614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457700" cy="944880"/>
                          </a:xfrm>
                          <a:prstGeom prst="rect">
                            <a:avLst/>
                          </a:prstGeom>
                          <a:noFill/>
                          <a:ln>
                            <a:noFill/>
                          </a:ln>
                        </pic:spPr>
                      </pic:pic>
                    </a:graphicData>
                  </a:graphic>
                </wp:inline>
              </w:drawing>
            </w:r>
          </w:p>
          <w:p w:rsidR="00000000" w:rsidRDefault="00EB04A8">
            <w:pPr>
              <w:pStyle w:val="Normlnywebov"/>
              <w:ind w:left="900"/>
            </w:pPr>
            <w:r>
              <w:t> </w:t>
            </w:r>
          </w:p>
          <w:p w:rsidR="00000000" w:rsidRDefault="00EB04A8">
            <w:pPr>
              <w:pStyle w:val="Normlnywebov"/>
              <w:ind w:left="900"/>
            </w:pPr>
            <w:r>
              <w:t>CAPEX: Výdavky potrebné pre vybudovanie IKT infraštruktúry :</w:t>
            </w:r>
          </w:p>
          <w:p w:rsidR="00000000" w:rsidRDefault="00EB04A8">
            <w:pPr>
              <w:numPr>
                <w:ilvl w:val="0"/>
                <w:numId w:val="36"/>
              </w:numPr>
              <w:spacing w:before="100" w:beforeAutospacing="1" w:after="100" w:afterAutospacing="1"/>
              <w:ind w:left="1620"/>
              <w:rPr>
                <w:rFonts w:eastAsia="Times New Roman"/>
              </w:rPr>
            </w:pPr>
            <w:r>
              <w:rPr>
                <w:rFonts w:eastAsia="Times New Roman"/>
              </w:rPr>
              <w:t>Podľa rozpočtu projektu TCO ktorý je súčasť</w:t>
            </w:r>
            <w:r>
              <w:rPr>
                <w:rFonts w:eastAsia="Times New Roman"/>
              </w:rPr>
              <w:t>ou CBA</w:t>
            </w:r>
          </w:p>
          <w:p w:rsidR="00000000" w:rsidRDefault="00EB04A8">
            <w:pPr>
              <w:pStyle w:val="Normlnywebov"/>
              <w:ind w:left="900"/>
            </w:pPr>
            <w:r>
              <w:t>OPEX: Výdavky potrebné pre prevádzku</w:t>
            </w:r>
          </w:p>
          <w:p w:rsidR="00000000" w:rsidRDefault="00EB04A8">
            <w:pPr>
              <w:numPr>
                <w:ilvl w:val="0"/>
                <w:numId w:val="37"/>
              </w:numPr>
              <w:spacing w:before="100" w:beforeAutospacing="1" w:after="100" w:afterAutospacing="1"/>
              <w:ind w:left="1620"/>
              <w:rPr>
                <w:rFonts w:eastAsia="Times New Roman"/>
              </w:rPr>
            </w:pPr>
            <w:r>
              <w:rPr>
                <w:rFonts w:eastAsia="Times New Roman"/>
              </w:rPr>
              <w:t>Náklady na HW maintenance,</w:t>
            </w:r>
          </w:p>
          <w:p w:rsidR="00000000" w:rsidRDefault="00EB04A8">
            <w:pPr>
              <w:numPr>
                <w:ilvl w:val="0"/>
                <w:numId w:val="37"/>
              </w:numPr>
              <w:spacing w:before="100" w:beforeAutospacing="1" w:after="100" w:afterAutospacing="1"/>
              <w:ind w:left="1620"/>
              <w:rPr>
                <w:rFonts w:eastAsia="Times New Roman"/>
              </w:rPr>
            </w:pPr>
            <w:r>
              <w:rPr>
                <w:rFonts w:eastAsia="Times New Roman"/>
              </w:rPr>
              <w:t>Náklady na Maintenance SW licencií (obnova),</w:t>
            </w:r>
          </w:p>
          <w:p w:rsidR="00000000" w:rsidRDefault="00EB04A8">
            <w:pPr>
              <w:numPr>
                <w:ilvl w:val="0"/>
                <w:numId w:val="37"/>
              </w:numPr>
              <w:spacing w:before="100" w:beforeAutospacing="1" w:after="100" w:afterAutospacing="1"/>
              <w:ind w:left="1620"/>
              <w:rPr>
                <w:rFonts w:eastAsia="Times New Roman"/>
              </w:rPr>
            </w:pPr>
            <w:r>
              <w:rPr>
                <w:rFonts w:eastAsia="Times New Roman"/>
              </w:rPr>
              <w:t>Technická asistencia pre riešení incidentov,</w:t>
            </w:r>
          </w:p>
          <w:p w:rsidR="00000000" w:rsidRDefault="00EB04A8">
            <w:pPr>
              <w:numPr>
                <w:ilvl w:val="0"/>
                <w:numId w:val="37"/>
              </w:numPr>
              <w:spacing w:before="100" w:beforeAutospacing="1" w:after="100" w:afterAutospacing="1"/>
              <w:ind w:left="1620"/>
              <w:rPr>
                <w:rFonts w:eastAsia="Times New Roman"/>
              </w:rPr>
            </w:pPr>
            <w:r>
              <w:rPr>
                <w:rFonts w:eastAsia="Times New Roman"/>
              </w:rPr>
              <w:t>Mzdové náklady pracovníkov DC,</w:t>
            </w:r>
          </w:p>
          <w:p w:rsidR="00000000" w:rsidRDefault="00EB04A8">
            <w:pPr>
              <w:numPr>
                <w:ilvl w:val="0"/>
                <w:numId w:val="37"/>
              </w:numPr>
              <w:spacing w:before="100" w:beforeAutospacing="1" w:after="100" w:afterAutospacing="1"/>
              <w:ind w:left="1620"/>
              <w:rPr>
                <w:rFonts w:eastAsia="Times New Roman"/>
              </w:rPr>
            </w:pPr>
            <w:r>
              <w:rPr>
                <w:rFonts w:eastAsia="Times New Roman"/>
              </w:rPr>
              <w:t>Réžia DC.</w:t>
            </w:r>
          </w:p>
          <w:p w:rsidR="00000000" w:rsidRDefault="00EB04A8">
            <w:pPr>
              <w:pStyle w:val="Normlnywebov"/>
              <w:ind w:left="900"/>
            </w:pPr>
            <w:r>
              <w:t>Celkové náklady na projekt sú zložené z </w:t>
            </w:r>
            <w:r>
              <w:t>hodnoty projektu CAPEX a z nákladov na prevádzku OPEX, a to samostatne pre HW a samostatne pre SW.</w:t>
            </w:r>
          </w:p>
          <w:p w:rsidR="00000000" w:rsidRDefault="00EB04A8">
            <w:pPr>
              <w:pStyle w:val="Normlnywebov"/>
              <w:ind w:left="900"/>
            </w:pPr>
            <w:r>
              <w:t>Prínosy je pre tento projekt zahŕňajú nepriamo ušetrené investície do budovania samostatných DC jednotlivých obcí a miest podľa štandardov ISVS.</w:t>
            </w:r>
          </w:p>
          <w:p w:rsidR="00000000" w:rsidRDefault="00EB04A8">
            <w:pPr>
              <w:pStyle w:val="Normlnywebov"/>
              <w:ind w:left="900"/>
            </w:pPr>
            <w:r>
              <w:t>CBA je vypra</w:t>
            </w:r>
            <w:r>
              <w:t>covaná v súlade s metodickými pokynmi záväznými pre OP II PO 7 a hodnoty použité vo výpočte CBA vychádzajú z reálnych predpokladov.</w:t>
            </w:r>
          </w:p>
          <w:p w:rsidR="00000000" w:rsidRDefault="00EB04A8">
            <w:pPr>
              <w:pStyle w:val="Normlnywebov"/>
              <w:ind w:left="900"/>
            </w:pPr>
            <w:r>
              <w:t>Výpočet CBA potvrdzuje, že časové limity pre návratnosť investície sú dodržané a spadajú do intervalov stanovených pre OP II</w:t>
            </w:r>
            <w:r>
              <w:t xml:space="preserve"> PO 7. Rok návratu investície je v súlade s požiadavkou aby sa návratnosť dostavila skôr ako bude potrebná investícia do nutnej reprodukcie zariadení.</w:t>
            </w:r>
          </w:p>
          <w:p w:rsidR="00000000" w:rsidRDefault="00EB04A8">
            <w:pPr>
              <w:pStyle w:val="Normlnywebov"/>
              <w:ind w:left="900"/>
            </w:pPr>
            <w:r>
              <w:t xml:space="preserve">Žiadateľom definované celkové výdavky projektu sú vecne oprávnené a zároveň účelné vzhľadom k stanoveným </w:t>
            </w:r>
            <w:r>
              <w:t>cieľom a očakávaným výstupom projektu.</w:t>
            </w:r>
          </w:p>
          <w:p w:rsidR="00000000" w:rsidRDefault="00EB04A8">
            <w:pPr>
              <w:pStyle w:val="Normlnywebov"/>
              <w:ind w:left="900"/>
            </w:pPr>
            <w:r>
              <w:t>Výdavky projektu spĺňajú požiadavky na hospodárnosť a efektívnosť.</w:t>
            </w:r>
          </w:p>
          <w:p w:rsidR="00000000" w:rsidRDefault="00EB04A8">
            <w:pPr>
              <w:pStyle w:val="Normlnywebov"/>
              <w:ind w:left="900"/>
            </w:pPr>
          </w:p>
        </w:tc>
      </w:tr>
      <w:tr w:rsidR="00000000">
        <w:trPr>
          <w:divId w:val="379667350"/>
          <w:cantSplit/>
          <w:tblCellSpacing w:w="15" w:type="dxa"/>
        </w:trPr>
        <w:tc>
          <w:tcPr>
            <w:tcW w:w="0" w:type="auto"/>
            <w:vAlign w:val="center"/>
            <w:hideMark/>
          </w:tcPr>
          <w:p w:rsidR="00000000" w:rsidRDefault="00EB04A8">
            <w:pPr>
              <w:rPr>
                <w:rFonts w:eastAsia="Times New Roman"/>
              </w:rPr>
            </w:pPr>
            <w:r>
              <w:rPr>
                <w:rFonts w:eastAsia="Times New Roman"/>
              </w:rPr>
              <w:t> </w:t>
            </w:r>
            <w:r>
              <w:rPr>
                <w:rStyle w:val="Siln"/>
                <w:rFonts w:eastAsia="Times New Roman"/>
              </w:rPr>
              <w:t>Kritéria kvality</w:t>
            </w:r>
          </w:p>
        </w:tc>
      </w:tr>
      <w:tr w:rsidR="00000000">
        <w:trPr>
          <w:divId w:val="379667350"/>
          <w:cantSplit/>
          <w:tblCellSpacing w:w="15" w:type="dxa"/>
        </w:trPr>
        <w:tc>
          <w:tcPr>
            <w:tcW w:w="0" w:type="auto"/>
            <w:vAlign w:val="center"/>
            <w:hideMark/>
          </w:tcPr>
          <w:p w:rsidR="00000000" w:rsidRDefault="00EB04A8">
            <w:pPr>
              <w:rPr>
                <w:rFonts w:eastAsia="Times New Roman"/>
              </w:rPr>
            </w:pPr>
            <w:r>
              <w:rPr>
                <w:rFonts w:eastAsia="Times New Roman"/>
              </w:rPr>
              <w:t> </w:t>
            </w:r>
          </w:p>
          <w:p w:rsidR="00000000" w:rsidRDefault="00EB04A8">
            <w:pPr>
              <w:pStyle w:val="zoznamq"/>
            </w:pPr>
            <w:r>
              <w:t>Q15 -  </w:t>
            </w:r>
            <w:r>
              <w:t>Je CBA vypočítaná podľa postupov pre realizáciu CBA, uvedených v prílohe vyzvania a vychádzajú hodnoty použité vo výpočte CBA z reálnych predpokladov?</w:t>
            </w:r>
          </w:p>
          <w:p w:rsidR="00000000" w:rsidRDefault="00EB04A8">
            <w:pPr>
              <w:pStyle w:val="zoznamq"/>
            </w:pPr>
            <w:r>
              <w:t>Q16 -  Sú výsledné ukazovatele CBA v intervale stanovenom pre OPII PO 7 ?</w:t>
            </w:r>
          </w:p>
          <w:p w:rsidR="00000000" w:rsidRDefault="00EB04A8">
            <w:pPr>
              <w:pStyle w:val="zoznamq"/>
            </w:pPr>
            <w:r>
              <w:t xml:space="preserve">Q17 -  Spĺňajú výdavky uvedené </w:t>
            </w:r>
            <w:r>
              <w:t>v žiadosti podmienky účelnosti a vecnej oprávnenosti?</w:t>
            </w:r>
          </w:p>
          <w:p w:rsidR="00000000" w:rsidRDefault="00EB04A8">
            <w:pPr>
              <w:pStyle w:val="zoznamq"/>
            </w:pPr>
            <w:r>
              <w:t>Q18 -  Spĺňajú výdavky uvedené v žiadosti podmienky hospodárnosti a efektívnosti?</w:t>
            </w:r>
          </w:p>
          <w:p w:rsidR="00000000" w:rsidRDefault="00EB04A8">
            <w:pPr>
              <w:rPr>
                <w:rFonts w:eastAsia="Times New Roman"/>
              </w:rPr>
            </w:pPr>
            <w:r>
              <w:rPr>
                <w:rFonts w:eastAsia="Times New Roman"/>
              </w:rPr>
              <w:t>Q19 - Je udržateľné financovanie prevádzky vytvoreného riešenia počas celej životnosti projektu a min. 5 rokov po ukončení realizácie projektu?</w:t>
            </w:r>
          </w:p>
        </w:tc>
      </w:tr>
      <w:tr w:rsidR="00000000">
        <w:trPr>
          <w:divId w:val="379667350"/>
          <w:cantSplit/>
          <w:tblCellSpacing w:w="15" w:type="dxa"/>
        </w:trPr>
        <w:tc>
          <w:tcPr>
            <w:tcW w:w="0" w:type="auto"/>
            <w:vAlign w:val="center"/>
            <w:hideMark/>
          </w:tcPr>
          <w:p w:rsidR="00000000" w:rsidRDefault="00EB04A8">
            <w:pPr>
              <w:rPr>
                <w:rFonts w:eastAsia="Times New Roman"/>
              </w:rPr>
            </w:pPr>
            <w:r>
              <w:rPr>
                <w:rFonts w:eastAsia="Times New Roman"/>
              </w:rPr>
              <w:t> </w:t>
            </w:r>
            <w:r>
              <w:rPr>
                <w:rStyle w:val="Siln"/>
                <w:rFonts w:eastAsia="Times New Roman"/>
              </w:rPr>
              <w:t>Riziká</w:t>
            </w:r>
          </w:p>
        </w:tc>
      </w:tr>
      <w:tr w:rsidR="00000000">
        <w:trPr>
          <w:divId w:val="379667350"/>
          <w:cantSplit/>
          <w:tblCellSpacing w:w="15" w:type="dxa"/>
        </w:trPr>
        <w:tc>
          <w:tcPr>
            <w:tcW w:w="0" w:type="auto"/>
            <w:vAlign w:val="center"/>
            <w:hideMark/>
          </w:tcPr>
          <w:p w:rsidR="00000000" w:rsidRDefault="00EB04A8">
            <w:pPr>
              <w:rPr>
                <w:rFonts w:eastAsia="Times New Roman"/>
              </w:rPr>
            </w:pPr>
            <w:r>
              <w:rPr>
                <w:rFonts w:eastAsia="Times New Roman"/>
              </w:rPr>
              <w:t> </w:t>
            </w:r>
          </w:p>
          <w:p w:rsidR="00000000" w:rsidRDefault="00EB04A8">
            <w:pPr>
              <w:pStyle w:val="zoznamr"/>
            </w:pPr>
            <w:r>
              <w:t>R 32 -  Financovanie prevádzky DCOM zo zdrojov obcí a miest nebude vymožiteľné</w:t>
            </w:r>
          </w:p>
          <w:p w:rsidR="00000000" w:rsidRDefault="00EB04A8">
            <w:pPr>
              <w:pStyle w:val="zoznamr"/>
            </w:pPr>
            <w:r>
              <w:t>R 33 -  Nepodar</w:t>
            </w:r>
            <w:r>
              <w:t>í sa dosiahnuť preukázateľné úspory podľa plánu</w:t>
            </w:r>
          </w:p>
          <w:p w:rsidR="00000000" w:rsidRDefault="00EB04A8">
            <w:pPr>
              <w:rPr>
                <w:rFonts w:eastAsia="Times New Roman"/>
              </w:rPr>
            </w:pPr>
            <w:r>
              <w:rPr>
                <w:rFonts w:eastAsia="Times New Roman"/>
              </w:rPr>
              <w:t>R 34 -  Náklady na podporu pre pripojené obce a mestá do IS DCOM budú väčšie voči predpokladu</w:t>
            </w:r>
          </w:p>
        </w:tc>
      </w:tr>
      <w:tr w:rsidR="00000000">
        <w:trPr>
          <w:divId w:val="379667350"/>
          <w:cantSplit/>
          <w:tblCellSpacing w:w="15" w:type="dxa"/>
        </w:trPr>
        <w:tc>
          <w:tcPr>
            <w:tcW w:w="0" w:type="auto"/>
            <w:vAlign w:val="center"/>
            <w:hideMark/>
          </w:tcPr>
          <w:p w:rsidR="00000000" w:rsidRDefault="00EB04A8">
            <w:pPr>
              <w:pStyle w:val="Normlnywebov"/>
            </w:pPr>
            <w:r>
              <w:rPr>
                <w:rStyle w:val="Siln"/>
              </w:rPr>
              <w:t>Prílohy </w:t>
            </w:r>
          </w:p>
        </w:tc>
      </w:tr>
      <w:tr w:rsidR="00000000">
        <w:trPr>
          <w:divId w:val="379667350"/>
          <w:cantSplit/>
          <w:tblCellSpacing w:w="15" w:type="dxa"/>
        </w:trPr>
        <w:tc>
          <w:tcPr>
            <w:tcW w:w="0" w:type="auto"/>
            <w:vAlign w:val="center"/>
            <w:hideMark/>
          </w:tcPr>
          <w:p w:rsidR="00000000" w:rsidRDefault="00EB04A8">
            <w:pPr>
              <w:pStyle w:val="Normlnywebov"/>
            </w:pPr>
            <w:r>
              <w:t>Samostatná príloha č.1 - prílohy v zmysle povinných príloh</w:t>
            </w:r>
          </w:p>
          <w:p w:rsidR="00000000" w:rsidRDefault="00EB04A8">
            <w:pPr>
              <w:pStyle w:val="Normlnywebov"/>
            </w:pPr>
            <w:r>
              <w:rPr>
                <w:rStyle w:val="Zvraznenie"/>
              </w:rPr>
              <w:t>Samostatná príloha č.2 – CBA </w:t>
            </w:r>
          </w:p>
        </w:tc>
      </w:tr>
    </w:tbl>
    <w:p w:rsidR="00000000" w:rsidRDefault="00EB04A8">
      <w:pPr>
        <w:pStyle w:val="Normlnywebov"/>
      </w:pPr>
      <w:r>
        <w:t> </w:t>
      </w:r>
    </w:p>
    <w:p w:rsidR="00000000" w:rsidRDefault="00EB04A8">
      <w:pPr>
        <w:pStyle w:val="Normlnywebov"/>
      </w:pPr>
      <w:r>
        <w:t> </w:t>
      </w:r>
    </w:p>
    <w:p w:rsidR="00000000" w:rsidRDefault="00EB04A8">
      <w:pPr>
        <w:pStyle w:val="Normlnywebov"/>
      </w:pPr>
      <w:r>
        <w:t> </w:t>
      </w:r>
    </w:p>
    <w:p w:rsidR="00000000" w:rsidRDefault="00EB04A8">
      <w:pPr>
        <w:pStyle w:val="Normlnywebov"/>
      </w:pPr>
      <w:r>
        <w:t> </w:t>
      </w:r>
    </w:p>
    <w:p w:rsidR="00000000" w:rsidRDefault="00EB04A8">
      <w:pPr>
        <w:pStyle w:val="Normlnywebov"/>
      </w:pPr>
      <w:r>
        <w:t> </w:t>
      </w:r>
    </w:p>
    <w:p w:rsidR="00000000" w:rsidRDefault="00EB04A8">
      <w:pPr>
        <w:pStyle w:val="Normlnywebov"/>
      </w:pPr>
      <w:r>
        <w:t> </w:t>
      </w:r>
    </w:p>
    <w:p w:rsidR="00000000" w:rsidRDefault="00EB04A8">
      <w:pPr>
        <w:pStyle w:val="Normlnywebov"/>
      </w:pPr>
      <w:r>
        <w:t> </w:t>
      </w:r>
    </w:p>
    <w:p w:rsidR="00000000" w:rsidRDefault="00EB04A8">
      <w:pPr>
        <w:pStyle w:val="Normlnywebov"/>
      </w:pPr>
      <w:r>
        <w:t> </w:t>
      </w:r>
    </w:p>
    <w:p w:rsidR="00000000" w:rsidRDefault="00EB04A8">
      <w:pPr>
        <w:pStyle w:val="Normlnywebov"/>
      </w:pPr>
      <w:r>
        <w:t> </w:t>
      </w:r>
    </w:p>
    <w:p w:rsidR="00000000" w:rsidRDefault="00EB04A8">
      <w:pPr>
        <w:pStyle w:val="Normlnywebov"/>
      </w:pPr>
      <w:r>
        <w:t> </w:t>
      </w:r>
    </w:p>
    <w:p w:rsidR="00000000" w:rsidRDefault="00EB04A8">
      <w:pPr>
        <w:pStyle w:val="Normlnywebov"/>
      </w:pPr>
      <w:r>
        <w:t> </w:t>
      </w:r>
    </w:p>
    <w:p w:rsidR="00000000" w:rsidRDefault="00EB04A8">
      <w:pPr>
        <w:pStyle w:val="Normlnywebov"/>
      </w:pPr>
      <w:r>
        <w:t> </w:t>
      </w:r>
    </w:p>
    <w:p w:rsidR="00000000" w:rsidRDefault="00EB04A8">
      <w:pPr>
        <w:pStyle w:val="Normlnywebov"/>
      </w:pPr>
      <w:r>
        <w:t> </w:t>
      </w:r>
    </w:p>
    <w:p w:rsidR="00000000" w:rsidRDefault="00EB04A8">
      <w:pPr>
        <w:pStyle w:val="Normlnywebov"/>
      </w:pPr>
      <w:r>
        <w:t> </w:t>
      </w:r>
    </w:p>
    <w:p w:rsidR="00000000" w:rsidRDefault="00EB04A8">
      <w:pPr>
        <w:pStyle w:val="Normlnywebov"/>
      </w:pPr>
      <w:r>
        <w:t> </w:t>
      </w:r>
    </w:p>
    <w:p w:rsidR="00000000" w:rsidRDefault="00EB04A8">
      <w:pPr>
        <w:pStyle w:val="Normlnywebov"/>
      </w:pPr>
      <w:r>
        <w:t> </w:t>
      </w:r>
    </w:p>
    <w:p w:rsidR="00000000" w:rsidRDefault="00EB04A8">
      <w:pPr>
        <w:pStyle w:val="Normlnywebov"/>
      </w:pPr>
      <w:r>
        <w:t> </w:t>
      </w:r>
    </w:p>
    <w:p w:rsidR="00000000" w:rsidRDefault="00EB04A8">
      <w:pPr>
        <w:pStyle w:val="Normlnywebov"/>
      </w:pPr>
      <w:r>
        <w:t> </w:t>
      </w:r>
    </w:p>
    <w:sectPr w:rsidR="00000000">
      <w:pgSz w:w="12240" w:h="15840"/>
      <w:pgMar w:top="1440" w:right="1440" w:bottom="1440" w:left="1440" w:header="720" w:footer="72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EE"/>
    <w:family w:val="swiss"/>
    <w:pitch w:val="variable"/>
    <w:sig w:usb0="A00002EF" w:usb1="4000207B"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47BD7"/>
    <w:multiLevelType w:val="multilevel"/>
    <w:tmpl w:val="71121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0A035E"/>
    <w:multiLevelType w:val="multilevel"/>
    <w:tmpl w:val="B058C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2B21A50"/>
    <w:multiLevelType w:val="multilevel"/>
    <w:tmpl w:val="3732CA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0CB7D99"/>
    <w:multiLevelType w:val="multilevel"/>
    <w:tmpl w:val="71EA9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6033CD"/>
    <w:multiLevelType w:val="multilevel"/>
    <w:tmpl w:val="E2FA264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20324BB"/>
    <w:multiLevelType w:val="multilevel"/>
    <w:tmpl w:val="80082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84830E9"/>
    <w:multiLevelType w:val="multilevel"/>
    <w:tmpl w:val="4A0299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8E82E3F"/>
    <w:multiLevelType w:val="multilevel"/>
    <w:tmpl w:val="DC52E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1E5BAB"/>
    <w:multiLevelType w:val="multilevel"/>
    <w:tmpl w:val="F80A3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0F55C6"/>
    <w:multiLevelType w:val="multilevel"/>
    <w:tmpl w:val="A8EA8C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E7361D3"/>
    <w:multiLevelType w:val="multilevel"/>
    <w:tmpl w:val="36109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0FB6828"/>
    <w:multiLevelType w:val="multilevel"/>
    <w:tmpl w:val="1C2C1C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5567E59"/>
    <w:multiLevelType w:val="multilevel"/>
    <w:tmpl w:val="05E686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55A219C"/>
    <w:multiLevelType w:val="multilevel"/>
    <w:tmpl w:val="167CE1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7870EA2"/>
    <w:multiLevelType w:val="multilevel"/>
    <w:tmpl w:val="31E81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8FC0D25"/>
    <w:multiLevelType w:val="multilevel"/>
    <w:tmpl w:val="F6A23A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B324F5C"/>
    <w:multiLevelType w:val="multilevel"/>
    <w:tmpl w:val="8F565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EE00CC5"/>
    <w:multiLevelType w:val="multilevel"/>
    <w:tmpl w:val="103EA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7155B31"/>
    <w:multiLevelType w:val="multilevel"/>
    <w:tmpl w:val="7BCA6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4664D1B"/>
    <w:multiLevelType w:val="multilevel"/>
    <w:tmpl w:val="83BC5B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5A21A34"/>
    <w:multiLevelType w:val="multilevel"/>
    <w:tmpl w:val="D494DE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DC368B6"/>
    <w:multiLevelType w:val="multilevel"/>
    <w:tmpl w:val="CB4EE6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266479E"/>
    <w:multiLevelType w:val="multilevel"/>
    <w:tmpl w:val="82DE19E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6524515D"/>
    <w:multiLevelType w:val="multilevel"/>
    <w:tmpl w:val="35F207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63F3924"/>
    <w:multiLevelType w:val="multilevel"/>
    <w:tmpl w:val="D3A4CF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6C01365"/>
    <w:multiLevelType w:val="multilevel"/>
    <w:tmpl w:val="679646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7F02CDD"/>
    <w:multiLevelType w:val="multilevel"/>
    <w:tmpl w:val="B10CB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DD55C93"/>
    <w:multiLevelType w:val="multilevel"/>
    <w:tmpl w:val="9628E3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EE1709B"/>
    <w:multiLevelType w:val="multilevel"/>
    <w:tmpl w:val="7B5C18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73031945"/>
    <w:multiLevelType w:val="multilevel"/>
    <w:tmpl w:val="25DA9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4616D28"/>
    <w:multiLevelType w:val="multilevel"/>
    <w:tmpl w:val="B89842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63C26CF"/>
    <w:multiLevelType w:val="multilevel"/>
    <w:tmpl w:val="06484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67A076C"/>
    <w:multiLevelType w:val="multilevel"/>
    <w:tmpl w:val="F1560F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72D5778"/>
    <w:multiLevelType w:val="multilevel"/>
    <w:tmpl w:val="A88ECF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C5B0516"/>
    <w:multiLevelType w:val="multilevel"/>
    <w:tmpl w:val="93B03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F651A60"/>
    <w:multiLevelType w:val="multilevel"/>
    <w:tmpl w:val="0EA09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7FD73A61"/>
    <w:multiLevelType w:val="multilevel"/>
    <w:tmpl w:val="D96EF2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3"/>
  </w:num>
  <w:num w:numId="2">
    <w:abstractNumId w:val="6"/>
  </w:num>
  <w:num w:numId="3">
    <w:abstractNumId w:val="9"/>
  </w:num>
  <w:num w:numId="4">
    <w:abstractNumId w:val="20"/>
  </w:num>
  <w:num w:numId="5">
    <w:abstractNumId w:val="0"/>
  </w:num>
  <w:num w:numId="6">
    <w:abstractNumId w:val="27"/>
  </w:num>
  <w:num w:numId="7">
    <w:abstractNumId w:val="13"/>
  </w:num>
  <w:num w:numId="8">
    <w:abstractNumId w:val="16"/>
  </w:num>
  <w:num w:numId="9">
    <w:abstractNumId w:val="32"/>
  </w:num>
  <w:num w:numId="10">
    <w:abstractNumId w:val="5"/>
  </w:num>
  <w:num w:numId="11">
    <w:abstractNumId w:val="10"/>
  </w:num>
  <w:num w:numId="12">
    <w:abstractNumId w:val="30"/>
  </w:num>
  <w:num w:numId="13">
    <w:abstractNumId w:val="35"/>
  </w:num>
  <w:num w:numId="14">
    <w:abstractNumId w:val="31"/>
  </w:num>
  <w:num w:numId="15">
    <w:abstractNumId w:val="19"/>
  </w:num>
  <w:num w:numId="16">
    <w:abstractNumId w:val="11"/>
  </w:num>
  <w:num w:numId="17">
    <w:abstractNumId w:val="21"/>
  </w:num>
  <w:num w:numId="18">
    <w:abstractNumId w:val="15"/>
  </w:num>
  <w:num w:numId="19">
    <w:abstractNumId w:val="3"/>
  </w:num>
  <w:num w:numId="20">
    <w:abstractNumId w:val="8"/>
  </w:num>
  <w:num w:numId="21">
    <w:abstractNumId w:val="2"/>
  </w:num>
  <w:num w:numId="22">
    <w:abstractNumId w:val="24"/>
  </w:num>
  <w:num w:numId="23">
    <w:abstractNumId w:val="7"/>
  </w:num>
  <w:num w:numId="24">
    <w:abstractNumId w:val="18"/>
  </w:num>
  <w:num w:numId="25">
    <w:abstractNumId w:val="29"/>
  </w:num>
  <w:num w:numId="26">
    <w:abstractNumId w:val="12"/>
  </w:num>
  <w:num w:numId="27">
    <w:abstractNumId w:val="23"/>
  </w:num>
  <w:num w:numId="28">
    <w:abstractNumId w:val="1"/>
  </w:num>
  <w:num w:numId="29">
    <w:abstractNumId w:val="28"/>
  </w:num>
  <w:num w:numId="30">
    <w:abstractNumId w:val="25"/>
  </w:num>
  <w:num w:numId="31">
    <w:abstractNumId w:val="22"/>
  </w:num>
  <w:num w:numId="32">
    <w:abstractNumId w:val="36"/>
  </w:num>
  <w:num w:numId="33">
    <w:abstractNumId w:val="17"/>
  </w:num>
  <w:num w:numId="34">
    <w:abstractNumId w:val="14"/>
  </w:num>
  <w:num w:numId="35">
    <w:abstractNumId w:val="4"/>
  </w:num>
  <w:num w:numId="36">
    <w:abstractNumId w:val="26"/>
  </w:num>
  <w:num w:numId="37">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noPunctuationKerning/>
  <w:characterSpacingControl w:val="doNotCompress"/>
  <w:compat>
    <w:doNotSnapToGridInCell/>
    <w:doNotWrapTextWithPunct/>
    <w:doNotUseEastAsianBreakRules/>
    <w:growAutofit/>
    <w:compatSetting w:name="compatibilityMode" w:uri="http://schemas.microsoft.com/office/word" w:val="15"/>
    <w:compatSetting w:name="differentiateMultirowTableHeaders" w:uri="http://schemas.microsoft.com/office/word" w:val="1"/>
  </w:compat>
  <w:rsids>
    <w:rsidRoot w:val="00EB04A8"/>
    <w:rsid w:val="00EB04A8"/>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9A0050E4-1C0C-44C2-8952-5AE4135EA2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sk-SK" w:eastAsia="sk-SK"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Pr>
      <w:rFonts w:eastAsiaTheme="minorEastAsia"/>
      <w:sz w:val="24"/>
      <w:szCs w:val="24"/>
    </w:rPr>
  </w:style>
  <w:style w:type="paragraph" w:styleId="Nadpis1">
    <w:name w:val="heading 1"/>
    <w:basedOn w:val="Normlny"/>
    <w:link w:val="Nadpis1Char"/>
    <w:uiPriority w:val="9"/>
    <w:qFormat/>
    <w:pPr>
      <w:spacing w:before="100" w:beforeAutospacing="1" w:after="100" w:afterAutospacing="1"/>
      <w:outlineLvl w:val="0"/>
    </w:pPr>
    <w:rPr>
      <w:b/>
      <w:bCs/>
      <w:kern w:val="36"/>
      <w:sz w:val="48"/>
      <w:szCs w:val="48"/>
    </w:rPr>
  </w:style>
  <w:style w:type="paragraph" w:styleId="Nadpis2">
    <w:name w:val="heading 2"/>
    <w:basedOn w:val="Normlny"/>
    <w:link w:val="Nadpis2Char"/>
    <w:uiPriority w:val="9"/>
    <w:qFormat/>
    <w:pPr>
      <w:spacing w:before="100" w:beforeAutospacing="1" w:after="100" w:afterAutospacing="1"/>
      <w:outlineLvl w:val="1"/>
    </w:pPr>
    <w:rPr>
      <w:b/>
      <w:bCs/>
      <w:sz w:val="36"/>
      <w:szCs w:val="36"/>
    </w:rPr>
  </w:style>
  <w:style w:type="paragraph" w:styleId="Nadpis3">
    <w:name w:val="heading 3"/>
    <w:basedOn w:val="Normlny"/>
    <w:link w:val="Nadpis3Char"/>
    <w:uiPriority w:val="9"/>
    <w:qFormat/>
    <w:pPr>
      <w:spacing w:before="100" w:beforeAutospacing="1" w:after="100" w:afterAutospacing="1"/>
      <w:outlineLvl w:val="2"/>
    </w:pPr>
    <w:rPr>
      <w:b/>
      <w:bCs/>
      <w:sz w:val="27"/>
      <w:szCs w:val="27"/>
    </w:rPr>
  </w:style>
  <w:style w:type="paragraph" w:styleId="Nadpis4">
    <w:name w:val="heading 4"/>
    <w:basedOn w:val="Normlny"/>
    <w:link w:val="Nadpis4Char"/>
    <w:uiPriority w:val="9"/>
    <w:qFormat/>
    <w:pPr>
      <w:spacing w:before="100" w:beforeAutospacing="1" w:after="100" w:afterAutospacing="1"/>
      <w:outlineLvl w:val="3"/>
    </w:pPr>
    <w:rPr>
      <w:b/>
      <w:bCs/>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uiPriority w:val="9"/>
    <w:rPr>
      <w:rFonts w:asciiTheme="majorHAnsi" w:eastAsiaTheme="majorEastAsia" w:hAnsiTheme="majorHAnsi" w:cstheme="majorBidi"/>
      <w:color w:val="2E74B5" w:themeColor="accent1" w:themeShade="BF"/>
      <w:sz w:val="32"/>
      <w:szCs w:val="32"/>
    </w:rPr>
  </w:style>
  <w:style w:type="paragraph" w:customStyle="1" w:styleId="fstitlepage">
    <w:name w:val="fstitlepage"/>
    <w:basedOn w:val="Normlny"/>
    <w:pPr>
      <w:spacing w:before="100" w:beforeAutospacing="1" w:after="100" w:afterAutospacing="1"/>
    </w:pPr>
  </w:style>
  <w:style w:type="character" w:customStyle="1" w:styleId="su2header">
    <w:name w:val="su2_header"/>
    <w:basedOn w:val="Predvolenpsmoodseku"/>
  </w:style>
  <w:style w:type="character" w:styleId="Siln">
    <w:name w:val="Strong"/>
    <w:basedOn w:val="Predvolenpsmoodseku"/>
    <w:uiPriority w:val="22"/>
    <w:qFormat/>
    <w:rPr>
      <w:b/>
      <w:bCs/>
    </w:rPr>
  </w:style>
  <w:style w:type="paragraph" w:styleId="Normlnywebov">
    <w:name w:val="Normal (Web)"/>
    <w:basedOn w:val="Normlny"/>
    <w:uiPriority w:val="99"/>
    <w:semiHidden/>
    <w:unhideWhenUsed/>
    <w:pPr>
      <w:spacing w:before="100" w:beforeAutospacing="1" w:after="100" w:afterAutospacing="1"/>
    </w:pPr>
  </w:style>
  <w:style w:type="character" w:customStyle="1" w:styleId="confluence-anchor-link">
    <w:name w:val="confluence-anchor-link"/>
    <w:basedOn w:val="Predvolenpsmoodseku"/>
  </w:style>
  <w:style w:type="character" w:styleId="Hypertextovprepojenie">
    <w:name w:val="Hyperlink"/>
    <w:basedOn w:val="Predvolenpsmoodseku"/>
    <w:uiPriority w:val="99"/>
    <w:semiHidden/>
    <w:unhideWhenUsed/>
    <w:rPr>
      <w:color w:val="0000FF"/>
      <w:u w:val="single"/>
    </w:rPr>
  </w:style>
  <w:style w:type="character" w:styleId="PouitHypertextovPrepojenie">
    <w:name w:val="FollowedHyperlink"/>
    <w:basedOn w:val="Predvolenpsmoodseku"/>
    <w:uiPriority w:val="99"/>
    <w:semiHidden/>
    <w:unhideWhenUsed/>
    <w:rPr>
      <w:color w:val="800080"/>
      <w:u w:val="single"/>
    </w:rPr>
  </w:style>
  <w:style w:type="character" w:customStyle="1" w:styleId="inline-comment-marker">
    <w:name w:val="inline-comment-marker"/>
    <w:basedOn w:val="Predvolenpsmoodseku"/>
  </w:style>
  <w:style w:type="character" w:customStyle="1" w:styleId="confluence-embedded-file-wrapper">
    <w:name w:val="confluence-embedded-file-wrapper"/>
    <w:basedOn w:val="Predvolenpsmoodseku"/>
  </w:style>
  <w:style w:type="character" w:customStyle="1" w:styleId="Nadpis2Char">
    <w:name w:val="Nadpis 2 Char"/>
    <w:basedOn w:val="Predvolenpsmoodseku"/>
    <w:link w:val="Nadpis2"/>
    <w:uiPriority w:val="9"/>
    <w:semiHidden/>
    <w:rPr>
      <w:rFonts w:asciiTheme="majorHAnsi" w:eastAsiaTheme="majorEastAsia" w:hAnsiTheme="majorHAnsi" w:cstheme="majorBidi"/>
      <w:color w:val="2E74B5" w:themeColor="accent1" w:themeShade="BF"/>
      <w:sz w:val="26"/>
      <w:szCs w:val="26"/>
    </w:rPr>
  </w:style>
  <w:style w:type="character" w:styleId="Zvraznenie">
    <w:name w:val="Emphasis"/>
    <w:basedOn w:val="Predvolenpsmoodseku"/>
    <w:uiPriority w:val="20"/>
    <w:qFormat/>
    <w:rPr>
      <w:i/>
      <w:iCs/>
    </w:rPr>
  </w:style>
  <w:style w:type="character" w:customStyle="1" w:styleId="Nadpis3Char">
    <w:name w:val="Nadpis 3 Char"/>
    <w:basedOn w:val="Predvolenpsmoodseku"/>
    <w:link w:val="Nadpis3"/>
    <w:uiPriority w:val="9"/>
    <w:semiHidden/>
    <w:rPr>
      <w:rFonts w:asciiTheme="majorHAnsi" w:eastAsiaTheme="majorEastAsia" w:hAnsiTheme="majorHAnsi" w:cstheme="majorBidi"/>
      <w:color w:val="1F4D78" w:themeColor="accent1" w:themeShade="7F"/>
      <w:sz w:val="24"/>
      <w:szCs w:val="24"/>
    </w:rPr>
  </w:style>
  <w:style w:type="character" w:customStyle="1" w:styleId="Nadpis4Char">
    <w:name w:val="Nadpis 4 Char"/>
    <w:basedOn w:val="Predvolenpsmoodseku"/>
    <w:link w:val="Nadpis4"/>
    <w:uiPriority w:val="9"/>
    <w:semiHidden/>
    <w:rPr>
      <w:rFonts w:asciiTheme="majorHAnsi" w:eastAsiaTheme="majorEastAsia" w:hAnsiTheme="majorHAnsi" w:cstheme="majorBidi"/>
      <w:i/>
      <w:iCs/>
      <w:color w:val="2E74B5" w:themeColor="accent1" w:themeShade="BF"/>
      <w:sz w:val="24"/>
      <w:szCs w:val="24"/>
    </w:rPr>
  </w:style>
  <w:style w:type="paragraph" w:customStyle="1" w:styleId="zoznamr">
    <w:name w:val="zoznamr"/>
    <w:basedOn w:val="Normlny"/>
    <w:pPr>
      <w:spacing w:before="100" w:beforeAutospacing="1" w:after="100" w:afterAutospacing="1"/>
    </w:pPr>
  </w:style>
  <w:style w:type="paragraph" w:customStyle="1" w:styleId="zoznamq">
    <w:name w:val="zoznamq"/>
    <w:basedOn w:val="Normlny"/>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1786016">
      <w:marLeft w:val="0"/>
      <w:marRight w:val="0"/>
      <w:marTop w:val="0"/>
      <w:marBottom w:val="0"/>
      <w:divBdr>
        <w:top w:val="none" w:sz="0" w:space="0" w:color="auto"/>
        <w:left w:val="none" w:sz="0" w:space="0" w:color="auto"/>
        <w:bottom w:val="none" w:sz="0" w:space="0" w:color="auto"/>
        <w:right w:val="none" w:sz="0" w:space="0" w:color="auto"/>
      </w:divBdr>
    </w:div>
    <w:div w:id="47192854">
      <w:marLeft w:val="0"/>
      <w:marRight w:val="0"/>
      <w:marTop w:val="0"/>
      <w:marBottom w:val="0"/>
      <w:divBdr>
        <w:top w:val="none" w:sz="0" w:space="0" w:color="auto"/>
        <w:left w:val="none" w:sz="0" w:space="0" w:color="auto"/>
        <w:bottom w:val="none" w:sz="0" w:space="0" w:color="auto"/>
        <w:right w:val="none" w:sz="0" w:space="0" w:color="auto"/>
      </w:divBdr>
    </w:div>
    <w:div w:id="133717444">
      <w:marLeft w:val="0"/>
      <w:marRight w:val="0"/>
      <w:marTop w:val="0"/>
      <w:marBottom w:val="0"/>
      <w:divBdr>
        <w:top w:val="none" w:sz="0" w:space="0" w:color="auto"/>
        <w:left w:val="none" w:sz="0" w:space="0" w:color="auto"/>
        <w:bottom w:val="none" w:sz="0" w:space="0" w:color="auto"/>
        <w:right w:val="none" w:sz="0" w:space="0" w:color="auto"/>
      </w:divBdr>
    </w:div>
    <w:div w:id="316762686">
      <w:marLeft w:val="0"/>
      <w:marRight w:val="0"/>
      <w:marTop w:val="0"/>
      <w:marBottom w:val="0"/>
      <w:divBdr>
        <w:top w:val="none" w:sz="0" w:space="0" w:color="auto"/>
        <w:left w:val="none" w:sz="0" w:space="0" w:color="auto"/>
        <w:bottom w:val="none" w:sz="0" w:space="0" w:color="auto"/>
        <w:right w:val="none" w:sz="0" w:space="0" w:color="auto"/>
      </w:divBdr>
    </w:div>
    <w:div w:id="365326871">
      <w:marLeft w:val="0"/>
      <w:marRight w:val="0"/>
      <w:marTop w:val="0"/>
      <w:marBottom w:val="0"/>
      <w:divBdr>
        <w:top w:val="none" w:sz="0" w:space="0" w:color="auto"/>
        <w:left w:val="none" w:sz="0" w:space="0" w:color="auto"/>
        <w:bottom w:val="none" w:sz="0" w:space="0" w:color="auto"/>
        <w:right w:val="none" w:sz="0" w:space="0" w:color="auto"/>
      </w:divBdr>
    </w:div>
    <w:div w:id="379667350">
      <w:marLeft w:val="0"/>
      <w:marRight w:val="0"/>
      <w:marTop w:val="0"/>
      <w:marBottom w:val="0"/>
      <w:divBdr>
        <w:top w:val="none" w:sz="0" w:space="0" w:color="auto"/>
        <w:left w:val="none" w:sz="0" w:space="0" w:color="auto"/>
        <w:bottom w:val="none" w:sz="0" w:space="0" w:color="auto"/>
        <w:right w:val="none" w:sz="0" w:space="0" w:color="auto"/>
      </w:divBdr>
      <w:divsChild>
        <w:div w:id="2034843883">
          <w:marLeft w:val="0"/>
          <w:marRight w:val="0"/>
          <w:marTop w:val="0"/>
          <w:marBottom w:val="0"/>
          <w:divBdr>
            <w:top w:val="none" w:sz="0" w:space="0" w:color="auto"/>
            <w:left w:val="none" w:sz="0" w:space="0" w:color="auto"/>
            <w:bottom w:val="none" w:sz="0" w:space="0" w:color="auto"/>
            <w:right w:val="none" w:sz="0" w:space="0" w:color="auto"/>
          </w:divBdr>
        </w:div>
        <w:div w:id="233780736">
          <w:marLeft w:val="0"/>
          <w:marRight w:val="0"/>
          <w:marTop w:val="0"/>
          <w:marBottom w:val="0"/>
          <w:divBdr>
            <w:top w:val="none" w:sz="0" w:space="0" w:color="auto"/>
            <w:left w:val="none" w:sz="0" w:space="0" w:color="auto"/>
            <w:bottom w:val="none" w:sz="0" w:space="0" w:color="auto"/>
            <w:right w:val="none" w:sz="0" w:space="0" w:color="auto"/>
          </w:divBdr>
        </w:div>
        <w:div w:id="2085489718">
          <w:marLeft w:val="0"/>
          <w:marRight w:val="0"/>
          <w:marTop w:val="0"/>
          <w:marBottom w:val="0"/>
          <w:divBdr>
            <w:top w:val="none" w:sz="0" w:space="0" w:color="auto"/>
            <w:left w:val="none" w:sz="0" w:space="0" w:color="auto"/>
            <w:bottom w:val="none" w:sz="0" w:space="0" w:color="auto"/>
            <w:right w:val="none" w:sz="0" w:space="0" w:color="auto"/>
          </w:divBdr>
        </w:div>
        <w:div w:id="1767458720">
          <w:marLeft w:val="0"/>
          <w:marRight w:val="0"/>
          <w:marTop w:val="0"/>
          <w:marBottom w:val="0"/>
          <w:divBdr>
            <w:top w:val="none" w:sz="0" w:space="0" w:color="auto"/>
            <w:left w:val="none" w:sz="0" w:space="0" w:color="auto"/>
            <w:bottom w:val="none" w:sz="0" w:space="0" w:color="auto"/>
            <w:right w:val="none" w:sz="0" w:space="0" w:color="auto"/>
          </w:divBdr>
        </w:div>
      </w:divsChild>
    </w:div>
    <w:div w:id="389965064">
      <w:marLeft w:val="0"/>
      <w:marRight w:val="0"/>
      <w:marTop w:val="0"/>
      <w:marBottom w:val="0"/>
      <w:divBdr>
        <w:top w:val="none" w:sz="0" w:space="0" w:color="auto"/>
        <w:left w:val="none" w:sz="0" w:space="0" w:color="auto"/>
        <w:bottom w:val="none" w:sz="0" w:space="0" w:color="auto"/>
        <w:right w:val="none" w:sz="0" w:space="0" w:color="auto"/>
      </w:divBdr>
    </w:div>
    <w:div w:id="485634340">
      <w:marLeft w:val="0"/>
      <w:marRight w:val="0"/>
      <w:marTop w:val="0"/>
      <w:marBottom w:val="0"/>
      <w:divBdr>
        <w:top w:val="none" w:sz="0" w:space="0" w:color="auto"/>
        <w:left w:val="none" w:sz="0" w:space="0" w:color="auto"/>
        <w:bottom w:val="none" w:sz="0" w:space="0" w:color="auto"/>
        <w:right w:val="none" w:sz="0" w:space="0" w:color="auto"/>
      </w:divBdr>
    </w:div>
    <w:div w:id="525365262">
      <w:marLeft w:val="0"/>
      <w:marRight w:val="0"/>
      <w:marTop w:val="0"/>
      <w:marBottom w:val="0"/>
      <w:divBdr>
        <w:top w:val="none" w:sz="0" w:space="0" w:color="auto"/>
        <w:left w:val="none" w:sz="0" w:space="0" w:color="auto"/>
        <w:bottom w:val="none" w:sz="0" w:space="0" w:color="auto"/>
        <w:right w:val="none" w:sz="0" w:space="0" w:color="auto"/>
      </w:divBdr>
    </w:div>
    <w:div w:id="1034960704">
      <w:marLeft w:val="0"/>
      <w:marRight w:val="0"/>
      <w:marTop w:val="0"/>
      <w:marBottom w:val="0"/>
      <w:divBdr>
        <w:top w:val="none" w:sz="0" w:space="0" w:color="auto"/>
        <w:left w:val="none" w:sz="0" w:space="0" w:color="auto"/>
        <w:bottom w:val="none" w:sz="0" w:space="0" w:color="auto"/>
        <w:right w:val="none" w:sz="0" w:space="0" w:color="auto"/>
      </w:divBdr>
    </w:div>
    <w:div w:id="1039404287">
      <w:marLeft w:val="0"/>
      <w:marRight w:val="0"/>
      <w:marTop w:val="0"/>
      <w:marBottom w:val="0"/>
      <w:divBdr>
        <w:top w:val="none" w:sz="0" w:space="0" w:color="auto"/>
        <w:left w:val="none" w:sz="0" w:space="0" w:color="auto"/>
        <w:bottom w:val="none" w:sz="0" w:space="0" w:color="auto"/>
        <w:right w:val="none" w:sz="0" w:space="0" w:color="auto"/>
      </w:divBdr>
    </w:div>
    <w:div w:id="1121730344">
      <w:marLeft w:val="0"/>
      <w:marRight w:val="0"/>
      <w:marTop w:val="0"/>
      <w:marBottom w:val="0"/>
      <w:divBdr>
        <w:top w:val="none" w:sz="0" w:space="0" w:color="auto"/>
        <w:left w:val="none" w:sz="0" w:space="0" w:color="auto"/>
        <w:bottom w:val="none" w:sz="0" w:space="0" w:color="auto"/>
        <w:right w:val="none" w:sz="0" w:space="0" w:color="auto"/>
      </w:divBdr>
      <w:divsChild>
        <w:div w:id="1631940564">
          <w:marLeft w:val="0"/>
          <w:marRight w:val="0"/>
          <w:marTop w:val="0"/>
          <w:marBottom w:val="0"/>
          <w:divBdr>
            <w:top w:val="none" w:sz="0" w:space="0" w:color="auto"/>
            <w:left w:val="none" w:sz="0" w:space="0" w:color="auto"/>
            <w:bottom w:val="none" w:sz="0" w:space="0" w:color="auto"/>
            <w:right w:val="none" w:sz="0" w:space="0" w:color="auto"/>
          </w:divBdr>
        </w:div>
        <w:div w:id="839273954">
          <w:marLeft w:val="0"/>
          <w:marRight w:val="0"/>
          <w:marTop w:val="0"/>
          <w:marBottom w:val="0"/>
          <w:divBdr>
            <w:top w:val="none" w:sz="0" w:space="0" w:color="auto"/>
            <w:left w:val="none" w:sz="0" w:space="0" w:color="auto"/>
            <w:bottom w:val="none" w:sz="0" w:space="0" w:color="auto"/>
            <w:right w:val="none" w:sz="0" w:space="0" w:color="auto"/>
          </w:divBdr>
        </w:div>
      </w:divsChild>
    </w:div>
    <w:div w:id="1127743646">
      <w:marLeft w:val="0"/>
      <w:marRight w:val="0"/>
      <w:marTop w:val="0"/>
      <w:marBottom w:val="0"/>
      <w:divBdr>
        <w:top w:val="none" w:sz="0" w:space="0" w:color="auto"/>
        <w:left w:val="none" w:sz="0" w:space="0" w:color="auto"/>
        <w:bottom w:val="none" w:sz="0" w:space="0" w:color="auto"/>
        <w:right w:val="none" w:sz="0" w:space="0" w:color="auto"/>
      </w:divBdr>
    </w:div>
    <w:div w:id="1292787789">
      <w:marLeft w:val="0"/>
      <w:marRight w:val="0"/>
      <w:marTop w:val="0"/>
      <w:marBottom w:val="0"/>
      <w:divBdr>
        <w:top w:val="none" w:sz="0" w:space="0" w:color="auto"/>
        <w:left w:val="none" w:sz="0" w:space="0" w:color="auto"/>
        <w:bottom w:val="none" w:sz="0" w:space="0" w:color="auto"/>
        <w:right w:val="none" w:sz="0" w:space="0" w:color="auto"/>
      </w:divBdr>
    </w:div>
    <w:div w:id="1308390788">
      <w:marLeft w:val="0"/>
      <w:marRight w:val="0"/>
      <w:marTop w:val="0"/>
      <w:marBottom w:val="0"/>
      <w:divBdr>
        <w:top w:val="none" w:sz="0" w:space="0" w:color="auto"/>
        <w:left w:val="none" w:sz="0" w:space="0" w:color="auto"/>
        <w:bottom w:val="none" w:sz="0" w:space="0" w:color="auto"/>
        <w:right w:val="none" w:sz="0" w:space="0" w:color="auto"/>
      </w:divBdr>
    </w:div>
    <w:div w:id="1403603623">
      <w:marLeft w:val="0"/>
      <w:marRight w:val="0"/>
      <w:marTop w:val="0"/>
      <w:marBottom w:val="0"/>
      <w:divBdr>
        <w:top w:val="none" w:sz="0" w:space="0" w:color="auto"/>
        <w:left w:val="none" w:sz="0" w:space="0" w:color="auto"/>
        <w:bottom w:val="none" w:sz="0" w:space="0" w:color="auto"/>
        <w:right w:val="none" w:sz="0" w:space="0" w:color="auto"/>
      </w:divBdr>
    </w:div>
    <w:div w:id="1613970613">
      <w:marLeft w:val="0"/>
      <w:marRight w:val="0"/>
      <w:marTop w:val="0"/>
      <w:marBottom w:val="0"/>
      <w:divBdr>
        <w:top w:val="none" w:sz="0" w:space="0" w:color="auto"/>
        <w:left w:val="none" w:sz="0" w:space="0" w:color="auto"/>
        <w:bottom w:val="none" w:sz="0" w:space="0" w:color="auto"/>
        <w:right w:val="none" w:sz="0" w:space="0" w:color="auto"/>
      </w:divBdr>
    </w:div>
    <w:div w:id="1667052900">
      <w:marLeft w:val="0"/>
      <w:marRight w:val="0"/>
      <w:marTop w:val="0"/>
      <w:marBottom w:val="0"/>
      <w:divBdr>
        <w:top w:val="none" w:sz="0" w:space="0" w:color="auto"/>
        <w:left w:val="none" w:sz="0" w:space="0" w:color="auto"/>
        <w:bottom w:val="none" w:sz="0" w:space="0" w:color="auto"/>
        <w:right w:val="none" w:sz="0" w:space="0" w:color="auto"/>
      </w:divBdr>
    </w:div>
    <w:div w:id="1742167418">
      <w:marLeft w:val="0"/>
      <w:marRight w:val="0"/>
      <w:marTop w:val="0"/>
      <w:marBottom w:val="0"/>
      <w:divBdr>
        <w:top w:val="none" w:sz="0" w:space="0" w:color="auto"/>
        <w:left w:val="none" w:sz="0" w:space="0" w:color="auto"/>
        <w:bottom w:val="none" w:sz="0" w:space="0" w:color="auto"/>
        <w:right w:val="none" w:sz="0" w:space="0" w:color="auto"/>
      </w:divBdr>
    </w:div>
    <w:div w:id="1752004092">
      <w:marLeft w:val="0"/>
      <w:marRight w:val="0"/>
      <w:marTop w:val="0"/>
      <w:marBottom w:val="0"/>
      <w:divBdr>
        <w:top w:val="none" w:sz="0" w:space="0" w:color="auto"/>
        <w:left w:val="none" w:sz="0" w:space="0" w:color="auto"/>
        <w:bottom w:val="none" w:sz="0" w:space="0" w:color="auto"/>
        <w:right w:val="none" w:sz="0" w:space="0" w:color="auto"/>
      </w:divBdr>
    </w:div>
    <w:div w:id="1912694239">
      <w:marLeft w:val="0"/>
      <w:marRight w:val="0"/>
      <w:marTop w:val="0"/>
      <w:marBottom w:val="0"/>
      <w:divBdr>
        <w:top w:val="none" w:sz="0" w:space="0" w:color="auto"/>
        <w:left w:val="none" w:sz="0" w:space="0" w:color="auto"/>
        <w:bottom w:val="none" w:sz="0" w:space="0" w:color="auto"/>
        <w:right w:val="none" w:sz="0" w:space="0" w:color="auto"/>
      </w:divBdr>
    </w:div>
    <w:div w:id="2048333391">
      <w:marLeft w:val="0"/>
      <w:marRight w:val="0"/>
      <w:marTop w:val="0"/>
      <w:marBottom w:val="0"/>
      <w:divBdr>
        <w:top w:val="none" w:sz="0" w:space="0" w:color="auto"/>
        <w:left w:val="none" w:sz="0" w:space="0" w:color="auto"/>
        <w:bottom w:val="none" w:sz="0" w:space="0" w:color="auto"/>
        <w:right w:val="none" w:sz="0" w:space="0" w:color="auto"/>
      </w:divBdr>
      <w:divsChild>
        <w:div w:id="1269462835">
          <w:marLeft w:val="0"/>
          <w:marRight w:val="0"/>
          <w:marTop w:val="0"/>
          <w:marBottom w:val="0"/>
          <w:divBdr>
            <w:top w:val="none" w:sz="0" w:space="0" w:color="auto"/>
            <w:left w:val="none" w:sz="0" w:space="0" w:color="auto"/>
            <w:bottom w:val="none" w:sz="0" w:space="0" w:color="auto"/>
            <w:right w:val="none" w:sz="0" w:space="0" w:color="auto"/>
          </w:divBdr>
        </w:div>
      </w:divsChild>
    </w:div>
    <w:div w:id="2087485117">
      <w:marLeft w:val="0"/>
      <w:marRight w:val="0"/>
      <w:marTop w:val="0"/>
      <w:marBottom w:val="0"/>
      <w:divBdr>
        <w:top w:val="none" w:sz="0" w:space="0" w:color="auto"/>
        <w:left w:val="none" w:sz="0" w:space="0" w:color="auto"/>
        <w:bottom w:val="none" w:sz="0" w:space="0" w:color="auto"/>
        <w:right w:val="none" w:sz="0" w:space="0" w:color="auto"/>
      </w:divBdr>
    </w:div>
  </w:divs>
  <w:encoding w:val="unicode"/>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mp"/><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tmp"/><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tmp"/><Relationship Id="rId1" Type="http://schemas.openxmlformats.org/officeDocument/2006/relationships/numbering" Target="numbering.xml"/><Relationship Id="rId6" Type="http://schemas.openxmlformats.org/officeDocument/2006/relationships/image" Target="media/image2.tmp"/><Relationship Id="rId11" Type="http://schemas.openxmlformats.org/officeDocument/2006/relationships/image" Target="media/image7.png"/><Relationship Id="rId24" Type="http://schemas.openxmlformats.org/officeDocument/2006/relationships/image" Target="media/image20.tmp"/><Relationship Id="rId5" Type="http://schemas.openxmlformats.org/officeDocument/2006/relationships/image" Target="media/image1.tmp"/><Relationship Id="rId15" Type="http://schemas.openxmlformats.org/officeDocument/2006/relationships/image" Target="media/image11.tmp"/><Relationship Id="rId23" Type="http://schemas.openxmlformats.org/officeDocument/2006/relationships/image" Target="media/image19.tmp"/><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tmp"/><Relationship Id="rId14" Type="http://schemas.openxmlformats.org/officeDocument/2006/relationships/image" Target="media/image10.tmp"/><Relationship Id="rId22" Type="http://schemas.openxmlformats.org/officeDocument/2006/relationships/image" Target="media/image18.png"/></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78</Pages>
  <Words>18514</Words>
  <Characters>118102</Characters>
  <Application>Microsoft Office Word</Application>
  <DocSecurity>0</DocSecurity>
  <Lines>984</Lines>
  <Paragraphs>272</Paragraphs>
  <ScaleCrop>false</ScaleCrop>
  <HeadingPairs>
    <vt:vector size="2" baseType="variant">
      <vt:variant>
        <vt:lpstr>Názov</vt:lpstr>
      </vt:variant>
      <vt:variant>
        <vt:i4>1</vt:i4>
      </vt:variant>
    </vt:vector>
  </HeadingPairs>
  <TitlesOfParts>
    <vt:vector size="1" baseType="lpstr">
      <vt:lpstr>SU-MD-su_6</vt:lpstr>
    </vt:vector>
  </TitlesOfParts>
  <Company/>
  <LinksUpToDate>false</LinksUpToDate>
  <CharactersWithSpaces>136344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SU-MD-su_6</dc:title>
  <dc:subject/>
  <dc:creator>JANKOVIČ Jozef</dc:creator>
  <cp:keywords/>
  <dc:description/>
  <cp:lastModifiedBy>JANKOVIČ Jozef</cp:lastModifiedBy>
  <cp:revision>2</cp:revision>
  <dcterms:created xsi:type="dcterms:W3CDTF">2017-11-30T18:10:00Z</dcterms:created>
  <dcterms:modified xsi:type="dcterms:W3CDTF">2017-11-30T18:10:00Z</dcterms:modified>
</cp:coreProperties>
</file>